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 A higher floor per online hour pays more for the same idle hours, the thing the rows show going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share is right; the window decides the period counted, and a shorter one counts the new accounts sooner without ever saying they are a new kind of account.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 The second claim title (g) rests on the flattering denominator: bookings per active driver-week rose 0.8 percent, Rs 5,817 to Rs 5,861, only because each driver-week carried about four more online hours while each hour earned Rs 260 against Rs 314. The order is Tuesday's template, the Week 1 four-part note on one slide; the action closes the slide because its six-week test answers the caveat above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concession is right and the evidence is wrong: a steady fare says each trip earned the same, and it cannot say whether the season cut the trips an hour carries, which is the finance partner's point; the requests and the trips per hour answer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checks in the wrong unit: 8,333 trips an hour over 2.13 rider requests per online hour, about 3,900, divides trips served by riders asking, and requests ran above trips (251,910 against 224,200 before the launch), so it moves the answer the wrong way.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Cohort C's 47.5 percent is its first month and cohort A's 50 percent in May is A at an older age, so the comparison sets two ages side by side; read at the same age, A and B fell and C propped the blend.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is the members' loss and the diagnosis is wrong: 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right and the question is not: before a cohort chart's shape is read, it has to say what it divides by and what it counts; the acquisition quarter is a second question and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blend cannot see a step inside a session, so its flat 41 percent says nothing about the checkout in either direction; the evidence is the step's conversion by date, with its counts.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November 2026, Diwali's month, gets last year's Diwali month, Rs 427.6 lakh times 1.04, about Rs 444.7 lakh. Accept the three numbers to the nearest lakh with November named. November 2024, straight after a Diwali on 31 October, shows no lift, so the festival's lift sits in its run-up; an answer that gives November the Diwali week and says part of the run-up may land in late October 2026 has gone further and is right. Friday's lab built the rest of the winter the same way, swapping last year's October and November, so October 2026 reads Rs 297.0 lakh times 1.04, about Rs 309 lakh on the printed figure.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hidden weeks are the right test and the bar is wrong: a curve's own fit is no baseline; it has to beat the seasonal naive on the same weeks, and the vendor's 16,400 a week against the copy's 9,831 did not.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(8): Q1, Q3, Q11, Q29, Q35, Q36, Q37, Q38</w:t>
      </w:r>
    </w:p>
    <w:p>
      <w:pPr>
        <w:pStyle w:val="ListParagraph"/>
        <w:numPr>
          <w:ilvl w:val="0"/>
          <w:numId w:val="3"/>
        </w:numPr>
        <w:spacing w:after="40"/>
      </w:pPr>
      <w:r>
        <w:rPr>
          <w:rFonts w:ascii="Arial" w:cs="Arial" w:eastAsia="Arial" w:hAnsi="Arial"/>
          <w:color w:val="1C1B16"/>
          <w:sz w:val="21"/>
          <w:szCs w:val="21"/>
        </w:rPr>
        <w:t xml:space="preserve">Medium (8): Q2, Q5, Q17, Q18, Q19, Q22, Q23, Q34</w:t>
      </w:r>
    </w:p>
    <w:p>
      <w:pPr>
        <w:pStyle w:val="ListParagraph"/>
        <w:numPr>
          <w:ilvl w:val="0"/>
          <w:numId w:val="3"/>
        </w:numPr>
        <w:spacing w:after="40"/>
      </w:pPr>
      <w:r>
        <w:rPr>
          <w:rFonts w:ascii="Arial" w:cs="Arial" w:eastAsia="Arial" w:hAnsi="Arial"/>
          <w:color w:val="1C1B16"/>
          <w:sz w:val="21"/>
          <w:szCs w:val="21"/>
        </w:rPr>
        <w:t xml:space="preserve">Hard (23): Q4, Q6, Q7, Q8, Q9, Q10, Q12, Q13, Q14, Q15, Q16, Q20, Q21, Q24, Q25, Q26, Q27, Q28, Q30, Q31, Q32, Q33,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what record kept beside the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seven lines make the city head's slide, and three would spoil it. Leave those three out and write the other four in the order Tuesday's one-slide template puts them,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Using Exhibits 5A and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2026-10-13T01:54:22.262Z</dcterms:created>
  <dcterms:modified xsi:type="dcterms:W3CDTF">2026-10-13T01:54:22.262Z</dcterms:modified>
</cp:coreProperties>
</file>

<file path=docProps/custom.xml><?xml version="1.0" encoding="utf-8"?>
<Properties xmlns="http://schemas.openxmlformats.org/officeDocument/2006/custom-properties" xmlns:vt="http://schemas.openxmlformats.org/officeDocument/2006/docPropsVTypes"/>
</file>