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22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22,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4.0 of 22, since a written answer cannot be guessed from a list, and fewer than one guesser in twenty would reach 8. A score of 7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(1 in 30, 0.033, from one buyer paying for 30 calls, is accepted);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past month's chance of a yes is a rate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chance for one client, so 0.71 says that clients scored like this one say yes about 71 times in 100. The memo may read it that way only once the scores are checked against what happened: among validation clients scored near 0.71, about 71 in 100 should have said yes. That check is calibration. AUC measures the ranking alone, so it is unchanged when every score is halved and cannot vouch for one chance; Friday's split by date kept a usable ranking while its scores ran far below the yes rate. The threshold that turns a chance into a call comes from the costs. Monday bent the line into the S on the bank's data; Friday showed the scores drifting while the ranking held.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AUC is the chance that a buyer outranks a non-buyer, so it stays the same when every score is halved; it vouches for the order, never for a chance.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0.5 is a default, never part of the score; the threshold is set from the costs, and beating the baseline does not turn a chance into a verdict.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and I read it as a chance only after checking that clients scored near 0.71 said yes about 71 times in 100; the AUC checks the ranking.</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Choosing the best of 60 on one slice picks the version whose score on that slice was luckiest, so the chosen score flatters. On fresh rows the luck does not repeat and the score falls back toward what an ordinary model of the week scores: the room's notebook measured 0.8971, the customer-table model's 0.897 on Exhibit 1A, an honest edge of 0.98 points against the 1.80 reported. No version was fitted to the 2,000, so the score does not collapse; the 2,000 were spent on a choice, which makes them validation. A test slice is scored once, at the end, on a model already chosen. Monday's peek chapter ran this loop, and the sealed envelope stayed shut until Friday.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Never training on a slice is not enough: choosing among 60 versions by their score on it carries the slice's luck into the choice.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versions are ordinary models of the week, each near Exhibit 1A's 0.897, so the edge shrinks without vanishing; and a slice that chose a version is validation, never training.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rule halves an edge: the fall is the luck that 60 tries picked, and the chosen version is an ordinary customer-table model, which Exhibit 1A puts at 0.897.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slice used to choose is validation, so I expect its best score to fall back on fresh rows by the luck the choice picked, and I score the test once, at the end.</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split by date wins on timing, not on the count of yes rows; validation already holds 928 yes rows under the random split.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Call when p x 1,200 &gt; (1 - p) x 40, so p &gt; 40 / 1,240 = 1 / 31, about 0.032 (1 in 30, 0.033, from one buyer paying for 30 calls, is accepted);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F1 on counts is 2TP over 2TP plus FP plus FN. At 0.20 that is 752 over 1,792, 0.42; at 0.10 it is 1,232 over 3,682, 0.33, so F1 prefers 0.20. The bill prices each box: at 0.20, 488 wasted calls cost Rs 19,520 and 552 missed buyers Rs 662,400, Rs 681,920 in all; at 0.10, 2,138 wasted calls cost Rs 85,520 and 312 missed buyers Rs 374,400, Rs 459,920. F1 weighs a wasted call and a missed buyer the same, so it stops lowering the line once wasted calls pile up, while the bill keeps lowering it, because each missed buyer costs as much as 30 wasted calls. The business runs on the bill. The usual slips are swapping the two prices, pricing one box only, and taking F1 as the plain average of precision and recall. Tuesday's slider drew this bill against the threshold.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F1 is a summary for when nobody has priced the errors; once they are priced I choose the threshold on the bill, and I can say why the two disagree.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The top 1,000 by score are the 864 clients above 0.20 and the next 136, so they hold every buyer of plan (a), 376, and of plan (b), 174, and the 136 extra calls go to clients scored just under 0.20, far above the cost line, so each is worth more than its Rs 40. On validation the top 1,000 held 404 buyers, a precision at 1,000 of 0.404 against the base rate of 0.113, about 3.6 times. This is the flip condition of the cost rule: at Rs 40 against Rs 1,200 the line calls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top 1,000 contains these 864 and adds 136 clients still far above the cost line, so it finds at least the same 376 buyers and more, and no call is left unused.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draw throws the ranking away and converts near 913 in 7,438, about 0.123, against 0.404 for the top 1,000.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since a smaller cut only leaves paid-for calls unused.</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which is data leakage.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and the previous campaign's result exist before any call. The previous result is strongly predictive, 65 percent yes among past successes, and still legitimate, because it was recorded before this campaign began, so it passes the timing test however strong it is. Duration exists only after this campaign's call, and so does a callback flag an agent sets during it, however much it reads like a fact about the client: a column written by this campaign's own calls is from the future on the morning the list is built.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agent sets it on a call in this campaign, which has not happened on the morning the list is built, so it is from the future however much it reads like a profile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respectable column from a period that has not ended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held-out X-rays came from the same two hospital systems as the training X-rays, so whatever marked the hospital marked them too. Sorting them by hospital alone scored 0.861, because one system's pneumonia rate was 34.2 percent and the other's 1.2 percent, and a network named the hospital of 22,050 of 22,062 X-rays from one system, so much of the 0.931 was the hospital. At a third hospital the shortcut no longer carried the label, and the AUC fell to 0.815. That is leakage through a proxy, which a held-out slice from the same source cannot catch; a score on data from a new site, or for the bank a later period, catches it. Overfitting shows as training far above held-out, and this model's held-out score was high. Wednesday told this case beside duration.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Memorising shows as high training against low held-out scores; here the held-out score was 0.931, so the trouble is what the held-out X-rays shared with training.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by hospital alone scored 0.861, so the model leaned on where an X-ray came from, which a new hospital cannot supply; the model needs the check.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paper reports the fall as significant, P = 0.001, and a model sold at 0.931 that delivers 0.815 has a problem to name, never noise to wave off.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held-out slice from the same source shares the source's shortcuts, so before launch I score the model on a new site or a later period and ask what else marks the label.</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and here the arrow plausibly runs backwards: a client who has decided to buy stays on to open the deposit, so a yes makes a call long. A weight is the same kind of number. euribor3m rises and falls with the employment variation rate (correlation 0.97 across the file) and the number employed (0.95), so the model cannot hold it fixed while they move, and its weight swings from -0.92 alone to +0.39 beside them. The memo answers the marketing head with the indicators read as one economic signal, and proposes a test for the coaching idea, such as a random half of agents coached. Wednesday's last chapters were what the importance chart cannot tell you and the sign that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Scoring well on validation says the model predicts; it says nothing about which way a cause runs or whether one weight can be read alone.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Holding the other indicators fixed is a world the file never shows, since the rate moves with them at 0.97 and 0.95; the +0.39 is what the rate adds after them, never its effect.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gap that is not chance can still run from the outcome to the column, so its size proves a link and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and weights describe prediction, so before I claim a cause I ask which way the arrow runs and whether the column moves with others, and I propose the experiment that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on one validation slice, while the five folds of one model moved by about 0.03, so another split could reorder them. The test that would settle it scores both models on the same five folds; until boosting leads on every fold by a margin worth its cost, the simpler model is the recommendation: it is explained to a committee in one line per weight, monitored easily, and moved to lending with less to re-check. The flip is a gap that holds across the folds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logistic model overfits too when it has many columns and no penalty; its case here is the tie and its plainness.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held across folds,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so the scores run below the clients' true chances. The cost line asks for a true chance above about 1 in 31, and on scores that understate the chance the same true chance shows up as a lower score, so the cut on the scores moves down until they are recalibrated on recent outcomes. More clients saying yes is the reason the cut falls, never a reason to be choosier. The ranking still held at an AUC of 0.657, which is why the alarm watches the probabilities.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higher yes rate raises the clients' true chances, so more of them clear the cost line; raising the cut would drop clients the line says to call.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Training accuracy is measured on rows the model already saw, so it stays high while the world moves, and a cut set on scores that run low is wrong whatever training says.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predicted against actual on fresh outcomes with the gap written into the memo, and when the scores run low I recalibrate them before the cut means what it meant.</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past rows well; it does not say the campaign will sell more deposits, and Booking.com's 23 comparisons put the correlation between the two near zero, -0.1 with an interval from -0.45 to 0.27, which is why the paper calls offline performance a health check. So the evidence is a randomised trial on the business number: next month's clients assigned at random between the list and today's rule, run in the same weeks, scored on deposits per call, with the size fixed before it starts. A before-and-after comparison mixes the list with the month, and on this file the yes rate climbed from 5.6 to 24.6 percent across the calls (Exhibit 5A), so a month can beat the last without the list. A random trial scored on AUC randomises the right thing and measures the wrong one.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yes rate moved from 5.6 to 24.6 percent across the file (Exhibit 5A), so this month against last month measures the calendar as much as the list.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Randomising is right, and the AUC is still the offline health check Booking.com found did not predict business gains; the trial is scored on deposits.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test score is the honest offline number, and it is still offline: Booking.com found that such gains did not predict business gains.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a randomised trial on the business number, run in the same weeks,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Approve when the expected cost of approving, p times Rs 60,000, is below the expected cost of rejecting, (1 minus p) times Rs 3,000, where p is the chance of default: p below 3,000 over 63,000, about 0.048. P at 0.04 is approved and Q at 0.08 is rejected.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92 in 100 repaying sounds strong, but each default costs Rs 60,000 against Rs 3,000 lost on a rejection, so the bar sits near 95 in 100 repaying, and Q falls below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Clearing the line is how the nudge acts, on a chance of a yes; here the chance is of a default, so an applicant must sit below the line, and Q at 8 percent sits above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below about a 5 percent chance of default.</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Rohan's question leaves out the two facts that decide it: what a flag does, and how many flags the team can work. If a flag blocks the payment, a false alarm stops a genuine customer, and the survey Stripe cites says a third of them may not come back, so precision gains weight and the line rises. If a flag sends the payment to a reviewer, a false alarm costs an analyst's minutes while a missed fraud costs the payment, so recall leads, up to what the team can review; with a fixed team the number to report is precision at its capacity, as Flipkart's trust team read the top 250 and found 211 frauds. Each one-word answer is right in one of those worlds and wrong in the other, and how rare fraud is settles neither, since it says how many false alarms come with each catch and never which costs more. So the reply opens on the question that decides it, then draws the line from the two costs. Tuesday met Stripe and Flipkart; Friday carried the cost line to Rohan's business.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Stripe's break-even prices a block at a sale's margin; if a false block also loses the customer the line rises, so recall cannot be chosen before knowing what a flag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rare fraud is sets how many false alarms come with each catch and leaves open which error costs more; that turns on what a flag does, so this question cannot settle the answer.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false decline costs a customer only when a flag declines the payment; if it queues a review, missed fraud is the larger cost, so precision cannot be chosen before knowing what a flag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or recall is a question about costs, so I first ask what a flag does and how many the team can review, then set the line from the two costs and report precision at the team's capacity.</w:t>
            </w:r>
          </w:p>
          <w:p>
            <w:pPr>
              <w:keepNext w:val="false"/>
              <w:spacing w:after="0"/>
            </w:pPr>
            <w:r>
              <w:rPr>
                <w:rFonts w:ascii="Arial" w:cs="Arial" w:eastAsia="Arial" w:hAnsi="Arial"/>
                <w:color w:val="6B675E"/>
                <w:sz w:val="18"/>
                <w:szCs w:val="18"/>
              </w:rPr>
              <w:t xml:space="preserve">Anchor: Precision or recall for fraud, and why?</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(9): Q1, Q3, Q6, Q7, Q8, Q10, Q11, Q12, Q14</w:t>
      </w:r>
    </w:p>
    <w:p>
      <w:pPr>
        <w:pStyle w:val="ListParagraph"/>
        <w:numPr>
          <w:ilvl w:val="0"/>
          <w:numId w:val="3"/>
        </w:numPr>
        <w:spacing w:after="40"/>
      </w:pPr>
      <w:r>
        <w:rPr>
          <w:rFonts w:ascii="Arial" w:cs="Arial" w:eastAsia="Arial" w:hAnsi="Arial"/>
          <w:color w:val="1C1B16"/>
          <w:sz w:val="21"/>
          <w:szCs w:val="21"/>
        </w:rPr>
        <w:t xml:space="preserve">[F] (7): Q2, Q5, Q13, Q15, Q16, Q18, Q22</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Q4, Q9, Q17, Q19, Q20, Q21</w:t>
      </w:r>
    </w:p>
    <w:p>
      <w:pPr>
        <w:pStyle w:val="ListParagraph"/>
        <w:numPr>
          <w:ilvl w:val="0"/>
          <w:numId w:val="3"/>
        </w:numPr>
        <w:spacing w:after="40"/>
      </w:pPr>
      <w:r>
        <w:rPr>
          <w:rFonts w:ascii="Arial" w:cs="Arial" w:eastAsia="Arial" w:hAnsi="Arial"/>
          <w:color w:val="1C1B16"/>
          <w:sz w:val="21"/>
          <w:szCs w:val="21"/>
        </w:rPr>
        <w:t xml:space="preserve">Easy (0): </w:t>
      </w:r>
    </w:p>
    <w:p>
      <w:pPr>
        <w:pStyle w:val="ListParagraph"/>
        <w:numPr>
          <w:ilvl w:val="0"/>
          <w:numId w:val="3"/>
        </w:numPr>
        <w:spacing w:after="40"/>
      </w:pPr>
      <w:r>
        <w:rPr>
          <w:rFonts w:ascii="Arial" w:cs="Arial" w:eastAsia="Arial" w:hAnsi="Arial"/>
          <w:color w:val="1C1B16"/>
          <w:sz w:val="21"/>
          <w:szCs w:val="21"/>
        </w:rPr>
        <w:t xml:space="preserve">Medium (9): Q1, Q5, Q6, Q7, Q10, Q14, Q15, Q16, Q19</w:t>
      </w:r>
    </w:p>
    <w:p>
      <w:pPr>
        <w:pStyle w:val="ListParagraph"/>
        <w:numPr>
          <w:ilvl w:val="0"/>
          <w:numId w:val="3"/>
        </w:numPr>
        <w:spacing w:after="40"/>
      </w:pPr>
      <w:r>
        <w:rPr>
          <w:rFonts w:ascii="Arial" w:cs="Arial" w:eastAsia="Arial" w:hAnsi="Arial"/>
          <w:color w:val="1C1B16"/>
          <w:sz w:val="21"/>
          <w:szCs w:val="21"/>
        </w:rPr>
        <w:t xml:space="preserve">Hard (13): Q2, Q3, Q4, Q8, Q9, Q11, Q12, Q13, Q17, Q18, Q20, Q21, Q22</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(4): Q1, Q2, Q3, Q4</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(5): Q5, Q6, Q7, Q8, Q9</w:t>
      </w:r>
    </w:p>
    <w:p>
      <w:pPr>
        <w:pStyle w:val="ListParagraph"/>
        <w:numPr>
          <w:ilvl w:val="0"/>
          <w:numId w:val="3"/>
        </w:numPr>
        <w:spacing w:after="40"/>
      </w:pPr>
      <w:r>
        <w:rPr>
          <w:rFonts w:ascii="Arial" w:cs="Arial" w:eastAsia="Arial" w:hAnsi="Arial"/>
          <w:color w:val="1C1B16"/>
          <w:sz w:val="21"/>
          <w:szCs w:val="21"/>
        </w:rPr>
        <w:t xml:space="preserve">Part 3, What was the model allowed to know? (4): Q10, Q11, Q12, Q13</w:t>
      </w:r>
    </w:p>
    <w:p>
      <w:pPr>
        <w:pStyle w:val="ListParagraph"/>
        <w:numPr>
          <w:ilvl w:val="0"/>
          <w:numId w:val="3"/>
        </w:numPr>
        <w:spacing w:after="40"/>
      </w:pPr>
      <w:r>
        <w:rPr>
          <w:rFonts w:ascii="Arial" w:cs="Arial" w:eastAsia="Arial" w:hAnsi="Arial"/>
          <w:color w:val="1C1B16"/>
          <w:sz w:val="21"/>
          <w:szCs w:val="21"/>
        </w:rPr>
        <w:t xml:space="preserve">Part 4, Is the model learning, or memorising? (4): Q14, Q15, Q16, Q17</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(5): Q18, Q19, Q20, Q21, Q22</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Q2 (One correct option, Hard, [F]): The logistic model on the customer table gives one client a score of 0.71, and its validation AUC is 0.761 (Exhibit 1A). What does the 0.71 say, and what would let the memo read it that way?</w:t>
      </w:r>
    </w:p>
    <w:p>
      <w:pPr>
        <w:pStyle w:val="ListParagraph"/>
        <w:numPr>
          <w:ilvl w:val="0"/>
          <w:numId w:val="3"/>
        </w:numPr>
        <w:spacing w:after="40"/>
      </w:pPr>
      <w:r>
        <w:rPr>
          <w:rFonts w:ascii="Arial" w:cs="Arial" w:eastAsia="Arial" w:hAnsi="Arial"/>
          <w:color w:val="1C1B16"/>
          <w:sz w:val="21"/>
          <w:szCs w:val="21"/>
        </w:rPr>
        <w:t xml:space="preserve">Q3 (One correct option, Hard, [S]): 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pStyle w:val="ListParagraph"/>
        <w:numPr>
          <w:ilvl w:val="0"/>
          <w:numId w:val="3"/>
        </w:numPr>
        <w:spacing w:after="40"/>
      </w:pPr>
      <w:r>
        <w:rPr>
          <w:rFonts w:ascii="Arial" w:cs="Arial" w:eastAsia="Arial" w:hAnsi="Arial"/>
          <w:color w:val="1C1B16"/>
          <w:sz w:val="21"/>
          <w:szCs w:val="21"/>
        </w:rPr>
        <w:t xml:space="preserve">Q4 (True or false, Hard, [D]): 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pStyle w:val="ListParagraph"/>
        <w:numPr>
          <w:ilvl w:val="0"/>
          <w:numId w:val="3"/>
        </w:numPr>
        <w:spacing w:after="40"/>
      </w:pPr>
      <w:r>
        <w:rPr>
          <w:rFonts w:ascii="Arial" w:cs="Arial" w:eastAsia="Arial" w:hAnsi="Arial"/>
          <w:color w:val="1C1B16"/>
          <w:sz w:val="21"/>
          <w:szCs w:val="21"/>
        </w:rPr>
        <w:t xml:space="preserve">Q5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Q6 (Applied maths, Medium,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Q7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Q8 (Applied maths, Hard, [S]): 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pStyle w:val="ListParagraph"/>
        <w:numPr>
          <w:ilvl w:val="0"/>
          <w:numId w:val="3"/>
        </w:numPr>
        <w:spacing w:after="40"/>
      </w:pPr>
      <w:r>
        <w:rPr>
          <w:rFonts w:ascii="Arial" w:cs="Arial" w:eastAsia="Arial" w:hAnsi="Arial"/>
          <w:color w:val="1C1B16"/>
          <w:sz w:val="21"/>
          <w:szCs w:val="21"/>
        </w:rPr>
        <w:t xml:space="preserve">Q9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Q10 (One correct option, Medium,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Q11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Q12 (One correct option, Hard, [S]): Exhibit 3B reports a pneumonia model that scored well on held-out X-rays and worse at a new hospital. Which reading holds, and which check would have caught it before launch?</w:t>
      </w:r>
    </w:p>
    <w:p>
      <w:pPr>
        <w:pStyle w:val="ListParagraph"/>
        <w:numPr>
          <w:ilvl w:val="0"/>
          <w:numId w:val="3"/>
        </w:numPr>
        <w:spacing w:after="40"/>
      </w:pPr>
      <w:r>
        <w:rPr>
          <w:rFonts w:ascii="Arial" w:cs="Arial" w:eastAsia="Arial" w:hAnsi="Arial"/>
          <w:color w:val="1C1B16"/>
          <w:sz w:val="21"/>
          <w:szCs w:val="21"/>
        </w:rPr>
        <w:t xml:space="preserve">Q13 (One correct option, Hard, [F]): 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pStyle w:val="ListParagraph"/>
        <w:numPr>
          <w:ilvl w:val="0"/>
          <w:numId w:val="3"/>
        </w:numPr>
        <w:spacing w:after="40"/>
      </w:pPr>
      <w:r>
        <w:rPr>
          <w:rFonts w:ascii="Arial" w:cs="Arial" w:eastAsia="Arial" w:hAnsi="Arial"/>
          <w:color w:val="1C1B16"/>
          <w:sz w:val="21"/>
          <w:szCs w:val="21"/>
        </w:rPr>
        <w:t xml:space="preserve">Q14 (One correct option, Medium,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Q15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Q16 (One correct option, Medium,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Q17 (True or false, Hard, [D]): Statement: the logistic model should go into the memo, although gradient boosting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Q18 (One correct option, Hard, [F]): On the latest 30 percent of calls the model's mean score was 0.152 while 24.6 percent said yes (Exhibit 5A). Which monitoring rule catches this first, and what happens to the cut on these scores that the cost line sets?</w:t>
      </w:r>
    </w:p>
    <w:p>
      <w:pPr>
        <w:pStyle w:val="ListParagraph"/>
        <w:numPr>
          <w:ilvl w:val="0"/>
          <w:numId w:val="3"/>
        </w:numPr>
        <w:spacing w:after="40"/>
      </w:pPr>
      <w:r>
        <w:rPr>
          <w:rFonts w:ascii="Arial" w:cs="Arial" w:eastAsia="Arial" w:hAnsi="Arial"/>
          <w:color w:val="1C1B16"/>
          <w:sz w:val="21"/>
          <w:szCs w:val="21"/>
        </w:rPr>
        <w:t xml:space="preserve">Q19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Q20 (One correct option, Hard, [D]): Anand Iyer asks what evidence would make him sign. Across 23 comparisons, Booking.com found offline gains and business gains almost uncorrelated (Exhibit 5B). Which test does the memo propose for next month?</w:t>
      </w:r>
    </w:p>
    <w:p>
      <w:pPr>
        <w:pStyle w:val="ListParagraph"/>
        <w:numPr>
          <w:ilvl w:val="0"/>
          <w:numId w:val="3"/>
        </w:numPr>
        <w:spacing w:after="40"/>
      </w:pPr>
      <w:r>
        <w:rPr>
          <w:rFonts w:ascii="Arial" w:cs="Arial" w:eastAsia="Arial" w:hAnsi="Arial"/>
          <w:color w:val="1C1B16"/>
          <w:sz w:val="21"/>
          <w:szCs w:val="21"/>
        </w:rPr>
        <w:t xml:space="preserve">Q21 (One correct option, Hard, [D]): 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pStyle w:val="ListParagraph"/>
        <w:numPr>
          <w:ilvl w:val="0"/>
          <w:numId w:val="3"/>
        </w:numPr>
        <w:spacing w:after="40"/>
      </w:pPr>
      <w:r>
        <w:rPr>
          <w:rFonts w:ascii="Arial" w:cs="Arial" w:eastAsia="Arial" w:hAnsi="Arial"/>
          <w:color w:val="1C1B16"/>
          <w:sz w:val="21"/>
          <w:szCs w:val="21"/>
        </w:rPr>
        <w:t xml:space="preserve">Q22 (One correct option, Hard, [F]): Rohan Desai asks one question about a fraud model for Kalpa Financial Services' payments app: "Do we tune it for precision or for recall?" Exhibit 5C sets two public cases beside his question. Which reply holds?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 The raise of 28 October 2026 folded the bank's three easy blanks, since each sat beside an item that printed its word (the peek item's own options said a slice was spent). The peek item's key says that a slice used to choose among 60 versions has become validation and that only a slice scored once, at the end, is a test, which is bank 1's word on the room's own loop.</w:t>
      </w:r>
    </w:p>
    <w:p>
      <w:pPr>
        <w:pStyle w:val="ListParagraph"/>
        <w:numPr>
          <w:ilvl w:val="0"/>
          <w:numId w:val="3"/>
        </w:numPr>
        <w:spacing w:after="40"/>
      </w:pPr>
      <w:r>
        <w:rPr>
          <w:rFonts w:ascii="Arial" w:cs="Arial" w:eastAsia="Arial" w:hAnsi="Arial"/>
          <w:color w:val="1C1B16"/>
          <w:sz w:val="21"/>
          <w:szCs w:val="21"/>
        </w:rPr>
        <w:t xml:space="preserve">Bank 2 (Fill in the blank, Easy, Tue), folded into Q6: The raise of 28 October 2026 folded the blank, which printed after the worked item that divides 174 by 174 plus 754. That working puts the false negatives in recall's denominator, which is bank 2's word on the week's real matrix.</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Q10: The raise of 28 October 2026 folded the blank. The duration item's key drops a column that exists only once the call ends and its reason names it data leakage, which is bank 3's word on the week's real column.</w:t>
      </w:r>
    </w:p>
    <w:p>
      <w:pPr>
        <w:pStyle w:val="ListParagraph"/>
        <w:numPr>
          <w:ilvl w:val="0"/>
          <w:numId w:val="3"/>
        </w:numPr>
        <w:spacing w:after="40"/>
      </w:pPr>
      <w:r>
        <w:rPr>
          <w:rFonts w:ascii="Arial" w:cs="Arial" w:eastAsia="Arial" w:hAnsi="Arial"/>
          <w:color w:val="1C1B16"/>
          <w:sz w:val="21"/>
          <w:szCs w:val="21"/>
        </w:rPr>
        <w:t xml:space="preserve">Bank 4 (Fill in the blank, Easy, Thu), folded into Q14: The blind sitting found the bank's 100 and 61 percent read beside Exhibit 4A's 0.996 and 0.619, two metrics, and found the blank cued by the part's title and by the options above it, so the item that reads training at 0.996 against validation at 0.837 as memorising tests bank 4's word on the room's own tree.</w:t>
      </w:r>
    </w:p>
    <w:p>
      <w:pPr>
        <w:pStyle w:val="ListParagraph"/>
        <w:numPr>
          <w:ilvl w:val="0"/>
          <w:numId w:val="3"/>
        </w:numPr>
        <w:spacing w:after="40"/>
      </w:pPr>
      <w:r>
        <w:rPr>
          <w:rFonts w:ascii="Arial" w:cs="Arial" w:eastAsia="Arial" w:hAnsi="Arial"/>
          <w:color w:val="1C1B16"/>
          <w:sz w:val="21"/>
          <w:szCs w:val="21"/>
        </w:rPr>
        <w:t xml:space="preserve">Bank 5 (Fill in the blank, Medium, Thu), folded into Q16: The blind sitting found the blank answered by the folds item's own options, which say what one split could have read, so the folds item, whose key is the luck of one split sized at 0.77 to 0.80, tests bank 5's word.</w:t>
      </w:r>
    </w:p>
    <w:p>
      <w:pPr>
        <w:pStyle w:val="ListParagraph"/>
        <w:numPr>
          <w:ilvl w:val="0"/>
          <w:numId w:val="3"/>
        </w:numPr>
        <w:spacing w:after="40"/>
      </w:pPr>
      <w:r>
        <w:rPr>
          <w:rFonts w:ascii="Arial" w:cs="Arial" w:eastAsia="Arial" w:hAnsi="Arial"/>
          <w:color w:val="1C1B16"/>
          <w:sz w:val="21"/>
          <w:szCs w:val="21"/>
        </w:rPr>
        <w:t xml:space="preserve">Bank 6 (True or false, Easy, Tue), folded into Q5: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Q13: The marketing head's first conclusion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Q15: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Q17: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Q1: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Q2: The item asks what a logistic score of 0.71 says about one client, with bank 11's three misreadings as the distractors, and adds the check that lets the memo read it as a chance, since an AUC vouches for the ranking and never for the chances.</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Q7: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Q21: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Q10: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Q13: The marketing head's second conclusion reads euribor3m's +0.39 as the effect of rates, and the key refuses it because the rate moves with the other indicators, the cause bank 15 asks for, so the sign flips from -0.92 alone and no single weight is the rate's effect.</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Q14: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Q18: The key is bank 17's monitoring rule made concrete on the bank's late rows, the called clients' yes rate against the mean score with a stated gap, and two of its distractors are bank 17's own; the raise adds the step of saying which way the cut on the scores moves.</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Q5: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Q11: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Q15: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Q19: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Q6: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Q6: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Q8: The working prices two of the week's real thresholds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Q8: The working compares the bill at two thresholds and says which costs less, which is bank 25's question on the week's own thresholds, and sets it against the threshold F1 would choose.</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Q5: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Q6: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Q7: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Q16: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hold on every fold, since one validation slice moves by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(1 in 30, 0.033, from one buyer paying for 30 calls, is accepted);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2026-10-28T12:05:08.029Z</dcterms:created>
  <dcterms:modified xsi:type="dcterms:W3CDTF">2026-10-28T12:05:08.029Z</dcterms:modified>
</cp:coreProperties>
</file>

<file path=docProps/custom.xml><?xml version="1.0" encoding="utf-8"?>
<Properties xmlns="http://schemas.openxmlformats.org/officeDocument/2006/custom-properties" xmlns:vt="http://schemas.openxmlformats.org/officeDocument/2006/docPropsVTypes"/>
</file>