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22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Most items join two of the week's ideas on one exhibit, the way an interviewer pushes past the first answer.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22 items, which the blueprint paces at 58.5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(Zech and others on pneumonia X-rays, Instacart, Booking.com, Stripe and Flipkart)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58.5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675"/>
        <w:gridCol w:w="2597"/>
        <w:gridCol w:w="1759"/>
        <w:gridCol w:w="1675"/>
        <w:gridCol w:w="2094"/>
      </w:tblGrid>
      <w:tr>
        <w:trPr>
          <w:cantSplit/>
          <w:trHeight w:val="460" w:hRule="atLeast"/>
        </w:trPr>
        <w:tc>
          <w:tcPr>
            <w:tcW w:type="dxa" w:w="167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 min</w:t>
            </w:r>
          </w:p>
        </w:tc>
        <w:tc>
          <w:tcPr>
            <w:tcW w:type="dxa" w:w="25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75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10.5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10 min</w:t>
            </w:r>
          </w:p>
        </w:tc>
        <w:tc>
          <w:tcPr>
            <w:tcW w:type="dxa" w:w="209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12.5 min</w:t>
            </w:r>
          </w:p>
        </w:tc>
      </w:tr>
      <w:tr>
        <w:trPr>
          <w:cantSplit/>
        </w:trPr>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w:t>
            </w:r>
          </w:p>
        </w:tc>
        <w:tc>
          <w:tcPr>
            <w:tcW w:type="dxa" w:w="175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25.5</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w:t>
            </w:r>
          </w:p>
        </w:tc>
        <w:tc>
          <w:tcPr>
            <w:tcW w:type="dxa" w:w="20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46</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4 items, Q1 to Q4, about 10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month's chance of a yes in 2009, counted from the calls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each new client's own chance of a yes on a first call, before anyone calls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on the customer table gives one client a score of 0.71, and its validation AUC is 0.761 (Exhibit 1A). What does the 0.71 say, and what would let the memo read it that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71 percent chance of a yes, and the AUC of 0.761 already shows the scores can be read as chances.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on about 71 percent of the clients it scores, if the validation slice confirms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will say yes, since a score above 0.5 is a yes once the model beats calling nobody.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71 in 100 such clients say yes, if about 71 in 100 validation clients scored near 0.71 did.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fresh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0.906 again, since the version never trained on the 2,000; they remain a fair test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0.887, since the loop found only luck and its edge vanishes; the 2,000 have become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0.897: part of the 1.8-point edge was luck the loop picked; the 2,000 are now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0.902: a peek doubles an edge, so half of the 1.8 points was luck; the 2,000 are now 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random split trains on later months than it validates on; train early and score late, like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split by date keeps more yes rows in validation, so its score is less noisy than a random split's.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stratified random split keeps 11.27 percent yes in every slice, so each is a fair sample of clients.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model never reads a date column, so the order in which the calls were made cannot move its score.</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5 items, Q5 to Q9,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w:t>
            </w:r>
          </w:p>
          <w:tbl>
            <w:tblPr>
              <w:tblW w:type="dxa" w:w="8620"/>
              <w:tblBorders>
                <w:top w:val="single" w:color="D5D0C4" w:sz="4"/>
                <w:left w:val="single" w:color="D5D0C4" w:sz="4"/>
                <w:bottom w:val="single" w:color="D5D0C4" w:sz="4"/>
                <w:right w:val="single" w:color="D5D0C4" w:sz="4"/>
                <w:insideH w:val="single" w:color="D5D0C4" w:sz="4"/>
                <w:insideV w:val="single" w:color="D5D0C4" w:sz="4"/>
              </w:tblBorders>
            </w:tblPr>
            <w:tblGrid>
              <w:gridCol w:w="2180"/>
              <w:gridCol w:w="1100"/>
              <w:gridCol w:w="1820"/>
              <w:gridCol w:w="1700"/>
              <w:gridCol w:w="1820"/>
            </w:tblGrid>
            <w:tr>
              <w:trPr>
                <w:cantSplit/>
                <w:tblHeader/>
              </w:trPr>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by F1 or by the bill</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the 864 clients above 0.20, at a precision of 0.435, and hold the other 136 calls in reserve.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the 268 clients above 0.5, where precision is at its highest, and save the rest of the budget.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wherever that cut happens to fall on the scores.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Draw 1,000 clients at random from the 7,438 above the cost line, since every one of them clears it.</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4 items, Q10 to Q13, about 10.5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callback flag an agent sets when a client asks to be called again in this campaign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A pneumonia model trained on chest X-rays from two hospital systems, as Zech and others report it (PLOS Medicine, 2018).</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939"/>
              <w:gridCol w:w="2860"/>
            </w:tblGrid>
            <w:tr>
              <w:trPr>
                <w:cantSplit/>
                <w:tblHeader/>
              </w:trPr>
              <w:tc>
                <w:tcPr>
                  <w:tcW w:type="dxa" w:w="69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paper reports</w:t>
                  </w:r>
                </w:p>
              </w:tc>
              <w:tc>
                <w:tcPr>
                  <w:tcW w:type="dxa" w:w="2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69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model's AUC on held-out X-rays from its own two hospital systems</w:t>
                  </w:r>
                </w:p>
              </w:tc>
              <w:tc>
                <w:tcPr>
                  <w:tcW w:type="dxa" w:w="2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0.931</w:t>
                  </w:r>
                </w:p>
              </w:tc>
            </w:tr>
            <w:tr>
              <w:trPr>
                <w:cantSplit/>
              </w:trPr>
              <w:tc>
                <w:tcPr>
                  <w:tcW w:type="dxa" w:w="69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model's AUC at a third hospital system</w:t>
                  </w:r>
                </w:p>
              </w:tc>
              <w:tc>
                <w:tcPr>
                  <w:tcW w:type="dxa" w:w="2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0.815</w:t>
                  </w:r>
                </w:p>
              </w:tc>
            </w:tr>
            <w:tr>
              <w:trPr>
                <w:cantSplit/>
              </w:trPr>
              <w:tc>
                <w:tcPr>
                  <w:tcW w:type="dxa" w:w="69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AUC from sorting X-rays from the two training systems by hospital alone</w:t>
                  </w:r>
                </w:p>
              </w:tc>
              <w:tc>
                <w:tcPr>
                  <w:tcW w:type="dxa" w:w="2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0.861</w:t>
                  </w:r>
                </w:p>
              </w:tc>
            </w:tr>
            <w:tr>
              <w:trPr>
                <w:cantSplit/>
              </w:trPr>
              <w:tc>
                <w:tcPr>
                  <w:tcW w:type="dxa" w:w="69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Pneumonia rate in the two training systems</w:t>
                  </w:r>
                </w:p>
              </w:tc>
              <w:tc>
                <w:tcPr>
                  <w:tcW w:type="dxa" w:w="2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34.2 percent and 1.2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Diagnose the drop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3B reports a pneumonia model that scored well on held-out X-rays and worse at a new hospital. Which reading holds, and which check would have caught it before launch?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learned which hospital took each X-ray, a shortcut its held-out set shared; test it on a new site.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memorised its training X-rays, so a stronger penalty or a smaller network would have closed the gap.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hospital's X-rays were poorer, so the drop says nothing about the model and needs no check.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0.815 is still a strong AUC, so the model carries over, and the drop is the noise of one test set.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readings of Wednesday's models on the week's run: the importance chart of the model with every column, and the logistic model's weight on euribor3m, the three-month interest rate, on the standardised scale.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7294"/>
              <w:gridCol w:w="2505"/>
            </w:tblGrid>
            <w:tr>
              <w:trPr>
                <w:cantSplit/>
                <w:tblHeader/>
              </w:trPr>
              <w:tc>
                <w:tcPr>
                  <w:tcW w:type="dxa" w:w="72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week's run shows</w:t>
                  </w:r>
                </w:p>
              </w:tc>
              <w:tc>
                <w:tcPr>
                  <w:tcW w:type="dxa" w:w="25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duration's place on the importance chart of the model with every column</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first</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call length: clients who said yes; clients who said no</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553 seconds; 221 seconds</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with no other column in the model</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-0.92</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beside the customer table and the other four indicators</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+0.39</w:t>
                  </w:r>
                </w:p>
              </w:tc>
            </w:tr>
          </w:tbl>
          <w:p>
            <w:pPr>
              <w:keepNext/>
              <w:spacing w:after="140" w:before="0"/>
            </w:pPr>
          </w:p>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two conclusions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hold: the chart and the weight come from models that scored well on the validation slice.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fails, since a yes makes the call long; two holds, since the full model holds the other columns fixed.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holds, since 332 seconds is far beyond chance; two fails, since the weight flips as columns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fail: a yes lengthens the call, and the rate moves with the other indicators; neither is an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4 items, Q14 to Q17, about 10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near the validation peak, confirmed by CV.</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simpler depth or penalty, chosen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the logistic model should go into the memo, although gradient boosting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logistic model cannot overfit its rows, so its validation score is the safer one to quote.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gap of 0.011 can flip on another split, as the folds' spread shows; the plainer model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0.806 is above 0.799 and 0.795 on the same validation rows, and the memo reports the best found.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models of different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5 items, Q18 to Q22, about 12.5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the logistic model on the honest columns.</w:t>
            </w:r>
          </w:p>
          <w:p>
            <w:pPr>
              <w:keepNext/>
              <w:spacing w:after="80" w:before="80"/>
              <w:jc w:val="center"/>
            </w:pPr>
            <w:r>
              <w:drawing>
                <wp:inline distT="0" distB="0" distL="0" distR="0">
                  <wp:extent cx="5905500" cy="457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metric used to evaluate the model that predicts whether an item is in stock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0.152 while 24.6 percent said yes (Exhibit 5A). Which monitoring rule catches this first, and what happens to the cut on these scores that the cost line sets?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cut moves down, as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 each month's called yes rate against the mean score, with a stated gap; the cut moves up, as more clients now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 every night on the newest calls; the scores then stay current, so the cut on them needs no second look.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training accuracy month by month; a fall there flags the drift, and the cut stays where Tuesday drew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where the model performs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reading that would retire the model, stated as a number before launch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Which test does the memo propose for next month?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every client by the list next month, then compare its deposits per call with this month's, before the switch.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Assign next month's clients at random, half to the list and half to today's rule; compare the list half's AUC with 0.795.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Score the list once on the sealed test slice, and sign if its AUC holds near the 0.795 it scored on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Assign next month's clients at random, half to the list and half to today's rule; compare deposits per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each is far below a 50 percent chance of default, the neutral line for a yes or no decision.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 only: the line sits near a 5 percent chance of default, so Q at 8 percent costs more than it pays.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Both: an 8 percent chance of default means 92 in 100 such borrowers repay, a strong book for any lender.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 only: the line sits near a 5 percent chance of default, and Q at 8 percent clears it while P does 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Two public fraud cases. Stripe: its primer on machine learning for fraud protection. Flipkart with Carnegie Mellon: Hooi and others, BIRDNEST, arXiv 1511.06030.</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30"/>
              <w:gridCol w:w="8369"/>
            </w:tblGrid>
            <w:tr>
              <w:trPr>
                <w:cantSplit/>
                <w:tblHeader/>
              </w:trPr>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83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Stripe's worked example</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sale earns a profit of 2.08 dollars and a fraudulent sale loses 38.92 dollars, so one fraud costs the profit of 18.71 good sales and the break-even precision of a block is 5.07 percent</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 on false declines</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In a survey Stripe cites, 33 percent of consumers said they would not shop again at a business after a false decline</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Flipkart's ratings-fraud model</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trust team investigated the 250 accounts the model ranked most suspicious, and 211 of them were involved in fraud</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Rohan's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 asks one question about a fraud model for Kalpa Financial Services' payments app: "Do we tune it for precision or for recall?" Exhibit 5C sets two public cases beside his question.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Recall: Stripe's arithmetic blocks above a 5 percent break-even, so a missed fraud is the cost; catch all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first how rare fraud is: below 1 in 100 payments, false alarms swamp any team, so precision leads.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Ask first what a flag does, block the payment or send it to review, and how many the team can review a 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Precision: a third of customers leave after a false decline, so flag only the payments the model is sure of.</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Two models score within a hair of each other on validation, and one is far harder to explain. Name the evidence that would make you ship the harder one, and say how you would size the gap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22</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b16241168b0a1feaec66bd8b013089d70d60a2ee.png"/><Relationship Id="rId12" Type="http://schemas.openxmlformats.org/officeDocument/2006/relationships/image" Target="media/5ab196a968a66eea3e048dc26fa640df372cdf14.png"/><Relationship Id="rId13" Type="http://schemas.openxmlformats.org/officeDocument/2006/relationships/image" Target="media/cf1a1f10b8b9a27fd76dc3a0831117aca2c11d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2026-10-28T12:05:07.617Z</dcterms:created>
  <dcterms:modified xsi:type="dcterms:W3CDTF">2026-10-28T12:05:07.617Z</dcterms:modified>
</cp:coreProperties>
</file>

<file path=docProps/custom.xml><?xml version="1.0" encoding="utf-8"?>
<Properties xmlns="http://schemas.openxmlformats.org/officeDocument/2006/custom-properties" xmlns:vt="http://schemas.openxmlformats.org/officeDocument/2006/docPropsVTypes"/>
</file>