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26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26,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Q5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Q6 to Q11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Q26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15</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5.0 of 26, since a written answer cannot be guessed from a list, and fewer than one guesser in twenty would reach 9. A score of 8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(test)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(negatives)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(leakage)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(overfitting)</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(split)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C (test)</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scored once, at the end, so its number is an honest estimate of how the chosen model does on clients it never influenced. Training fits the model and validation chooses among models and thresholds, so both are read many times. The week sealed the test slice on Monday in an envelope on the wall and opened it once on Friday.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Training fits, validation chooses, and the test is spent once, at the end; once I peek and change anything, it is validation.</w:t>
            </w:r>
          </w:p>
          <w:p>
            <w:pPr>
              <w:keepNext w:val="false"/>
              <w:spacing w:after="0"/>
            </w:pPr>
            <w:r>
              <w:rPr>
                <w:rFonts w:ascii="Arial" w:cs="Arial" w:eastAsia="Arial" w:hAnsi="Arial"/>
                <w:color w:val="6B675E"/>
                <w:sz w:val="18"/>
                <w:szCs w:val="18"/>
              </w:rPr>
              <w:t xml:space="preserve">Anchor: Train, validation, test: what is each for, and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test slice is honest only while nothing about the model was chosen by looking at it. Moving the threshold until the test score improves makes the test a second validation slice, so the reported number now carries the analyst's selection and flatters the model. The committee is told the test was spent, and the honest check is one score on calls the model has not touched, such as the next month's. Monday sealed the slice in the envelope; Friday opened it once.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Fitting the weights is one way to use the rows; choosing a threshold on them is another, and either one spends the slice.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threshold set on training rows sits on rows the model has memorised, so validation is the place to set it, and the test score is still spent.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8,238 clients is plenty for one honest score, and pooling the spent slice with validation hides the peek inside a bigger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test is spent the moment it changes a decision, so I tell the committee it was spent and get one clean score on data nobody has looked at.</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holds 928 yes rows under the random split; the problem is which months they come from, never how many there are.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probability for one client, so 0.71 says that clients with this profile say yes about 71 times in 100, as long as the scores are calibrated against what actually happens. The threshold that turns it into a call is a business choice made afterwards: at Kalpa's costs it sits near 0.03, far below 0.5. Monday bent the line into the S on the bank's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is a default, not part of the score; the threshold is set from the costs, and 0.71 is a chance, never a verdict.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0.71 is a probability, not a ratio against the average; against a base rate of 11 percent it is about six times the average chance.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trustworthy only if calibrated, and the decision to call comes from the threshold, which the costs set.</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2009 answer is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 (negatives)</w:t>
            </w:r>
            <w:r>
              <w:rPr>
                <w:rFonts w:ascii="Arial" w:cs="Arial" w:eastAsia="Arial" w:hAnsi="Arial"/>
                <w:color w:val="6B675E"/>
                <w:sz w:val="18"/>
                <w:szCs w:val="18"/>
              </w:rPr>
              <w:t xml:space="preserve">   Fill in the blank,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Recall is true positives over every actual positive, and the actual positives the model missed are the false negatives: on Tuesday's matrix, 174 over 174 plus 754. Precision is the ratio that takes false positives below the 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Recall asks, of the buyers out there, how many I found, so its denominator is every real buyer, caught or missed.</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never the case for shipping; the case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Call when p x 1,200 &gt; (1 - p) x 40, so p &gt; 40 / 1,240 = 1 / 31, about 0.032;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bill adds each wasted call at Rs 40 and each missed buyer at Rs 1,200. At 0.5 that is 94 times 40 plus 754 times 1,200, Rs 3,760 plus Rs 904,800, Rs 908,560. At 0.10 it is 2,138 times 40 plus 312 times 1,200, Rs 85,520 plus Rs 374,400, Rs 459,920. Lowering the line wastes 2,044 more calls and catches 442 more buyers, and the bill falls by Rs 448,640. Tuesday's slider drew this bill against the threshold.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swaps the two prices, charging Rs 1,200 for each wasted call and Rs 40 for each miss.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counts only the wasted calls and forgets the missed buyers, the larger cost by far.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This counts only the missed buyers and forgets the 94 and 2,138 wasted calls.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price both boxes of errors at each threshold and add them, because the threshold that looks wasteful on calls can be the cheaper one once misses are priced.</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call the 1,000 highest scores. On validation they hold 404 buyers, a precision at 1,000 of 0.404, against the base rate of 0.113, about 3.6 times. This is the flip condition of the cost rule: at Rs 40 against Rs 1,200 the line says call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order is not the score's order, so the first 1,000 above the line convert at about the base rate and waste the ranking.</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1,000 converts at about the base rate, 0.113, while the top 1,000 convert at 0.404, so the ranking is far from noise.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which is what the money buys.</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C (leakage)</w:t>
            </w:r>
            <w:r>
              <w:rPr>
                <w:rFonts w:ascii="Arial" w:cs="Arial" w:eastAsia="Arial" w:hAnsi="Arial"/>
                <w:color w:val="6B675E"/>
                <w:sz w:val="18"/>
                <w:szCs w:val="18"/>
              </w:rPr>
              <w:t xml:space="preserve">   Fill in the blank,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the model could not have at the moment of prediction leaks the answer into training, which is data leakage; duration is the week's example, known only once the call ends. Drift is the world changing after training, and collinearity is columns moving together, Wednesday's sign flip.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Leakage is a column from the future, so I ask of every column when it would exist on the morning the list is built.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the previous campaign's result and the rate published that morning all exist before any call. The previous result is strongly predictive, 65 percent yes among past successes, and still legitimate, because it was recorded before this campaign began; predictive power is not the test, timing is. Duration exists only after this campaign's call.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never by how well it predicts; a strong column from the past is a feature, a weak one from the future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Here the arrow plausibly runs backwards: a client who has decided to buy stays on to open the deposit, so a yes makes a call long. Coaching agents to keep people talking would lengthen calls without creating buyers. Testing it would need an experiment, such as a random half of agents coached. Wednesday's last chapter was what the importance chart cannot tell you.</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Importance charts are drawn for linear and tree models alike; the limit is causal, not the model family.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 weight says the model leans on the column to predict; a column can predict because the outcome causes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that is not chance can still run from the outcome to the column, so size proves the link,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is about prediction, so before I claim a cause I ask which way the arrow runs and what experiment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five economic indicators rise and fall together across the period, so once they sit in one model, the weight on any one of them is what it adds after the others, and its sign can reverse. The prediction can be just as good while no single coefficient reads as an effect. The fix is to read the group together, keep one representative, or regularise, and never to narrate one coefficient as a cause. Wednesday's case showed euribor3m flip with the economic trio.</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flip appears in every solver and every library, because it comes from the data, not the code.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24,712 rows is plenty for five coefficients; the trouble is that the columns carry the same information.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Imbalance shifts the intercept and the calibration, and it does not flip one column's sign when another column joins.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a sign flips as a column joins, I check the correlations first and read correlated columns as a group.</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 (overfitting)</w:t>
            </w:r>
            <w:r>
              <w:rPr>
                <w:rFonts w:ascii="Arial" w:cs="Arial" w:eastAsia="Arial" w:hAnsi="Arial"/>
                <w:color w:val="6B675E"/>
                <w:sz w:val="18"/>
                <w:szCs w:val="18"/>
              </w:rPr>
              <w:t xml:space="preserve">   Fill in the blank, Easy,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Perfect on training and far lower on validation is a model that memorised its training rows, which is overfitting; the room's unlimited tree scored 0.996 against 0.837. Underfitting scores low on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big gap between training and validation is memorising, so I add a brake and choose its strength on validation or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 (split)</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split can be lucky or unlucky in which clients land in validation; cross-validation gives every row a turn in validation and averages the scores, so the luck of one split averages away. The week's five folds ran from 0.769 to 0.798.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split is one draw; five folds are five draws, so I quote the mean and the spread.</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around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while the five folds of one model moved by about 0.03, so the ranking is inside the noise. On a tie the simpler model is the better recommendation: it is explained to a committee in one line per weight, monitored easily, and moved to lending with less to re-check. The flip is a gap that clears the folds' spread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Boosting can generalise well, and it can also overfit; how it fits says nothing about whether it beats the others here.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the probabilities fell out of step even though the ranking held at an AUC of 0.657, and the cost line, which assumes calibrated scores, was drawn in the wrong place.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Retraining with no measurement can neither tell whether the old model failed nor whether the new one is better, and it needs outcomes that arrive weeks late.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accuracy is measured on rows the model already saw, so it stays high while the world moves.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feeling arrives after the money is spent; a stated floor on a measured metric arrives first.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the decision's metric on fresh outcomes, predicted against actual, with the floor written into the memo before launch.</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well on past rows; it does not say the campaign will sell more deposits. Booking.com's 23 comparisons put the correlation between the two near zero, -0.1 with an interval from -0.45 to 0.27, and the paper calls offline performance a health check. So the memo asks for a randomised trial that sets the model's list against the current rule on the business number, deposits sold per call, with the size fixed before it starts.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decimals on the offline score sharpen the health check, and the gap to the business number stays where it was.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larger offline gain is the very thing Booking.com found did not predict business 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test score is the honest offline number, and it is still offline.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the trial on the business number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same cost rule runs in both businesses. Approve when the expected cost of approving, p times Rs 60,000, is below the expected cost of rejecting, (1 minus p) times Rs 3,000, where p is the chance of default: p below 3,000 over 63,000, about 0.048.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method moves and the costs do not: the nudge's cheap error is a wasted call, while the loan's expensive error is a default.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puts the expensive error's cost on top, which would lend to a borrower with a 95 percent chance of default.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at 95 percent sure.</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(12): Q1, Q2, Q5, Q6, Q8, Q9, Q10, Q12, Q13, Q14, Q17, Q19</w:t>
      </w:r>
    </w:p>
    <w:p>
      <w:pPr>
        <w:pStyle w:val="ListParagraph"/>
        <w:numPr>
          <w:ilvl w:val="0"/>
          <w:numId w:val="3"/>
        </w:numPr>
        <w:spacing w:after="40"/>
      </w:pPr>
      <w:r>
        <w:rPr>
          <w:rFonts w:ascii="Arial" w:cs="Arial" w:eastAsia="Arial" w:hAnsi="Arial"/>
          <w:color w:val="1C1B16"/>
          <w:sz w:val="21"/>
          <w:szCs w:val="21"/>
        </w:rPr>
        <w:t xml:space="preserve">[F] (8): Q4, Q7, Q15, Q16, Q18, Q20, Q21, Q23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Q3, Q11, Q22, Q24, Q25, Q26</w:t>
      </w:r>
    </w:p>
    <w:p>
      <w:pPr>
        <w:pStyle w:val="ListParagraph"/>
        <w:numPr>
          <w:ilvl w:val="0"/>
          <w:numId w:val="3"/>
        </w:numPr>
        <w:spacing w:after="40"/>
      </w:pPr>
      <w:r>
        <w:rPr>
          <w:rFonts w:ascii="Arial" w:cs="Arial" w:eastAsia="Arial" w:hAnsi="Arial"/>
          <w:color w:val="1C1B16"/>
          <w:sz w:val="21"/>
          <w:szCs w:val="21"/>
        </w:rPr>
        <w:t xml:space="preserve">Easy (4): Q1, Q6, Q12, Q17</w:t>
      </w:r>
    </w:p>
    <w:p>
      <w:pPr>
        <w:pStyle w:val="ListParagraph"/>
        <w:numPr>
          <w:ilvl w:val="0"/>
          <w:numId w:val="3"/>
        </w:numPr>
        <w:spacing w:after="40"/>
      </w:pPr>
      <w:r>
        <w:rPr>
          <w:rFonts w:ascii="Arial" w:cs="Arial" w:eastAsia="Arial" w:hAnsi="Arial"/>
          <w:color w:val="1C1B16"/>
          <w:sz w:val="21"/>
          <w:szCs w:val="21"/>
        </w:rPr>
        <w:t xml:space="preserve">Medium (7): Q4, Q5, Q7, Q9, Q18, Q20, Q24</w:t>
      </w:r>
    </w:p>
    <w:p>
      <w:pPr>
        <w:pStyle w:val="ListParagraph"/>
        <w:numPr>
          <w:ilvl w:val="0"/>
          <w:numId w:val="3"/>
        </w:numPr>
        <w:spacing w:after="40"/>
      </w:pPr>
      <w:r>
        <w:rPr>
          <w:rFonts w:ascii="Arial" w:cs="Arial" w:eastAsia="Arial" w:hAnsi="Arial"/>
          <w:color w:val="1C1B16"/>
          <w:sz w:val="21"/>
          <w:szCs w:val="21"/>
        </w:rPr>
        <w:t xml:space="preserve">Hard (15): Q2, Q3, Q8, Q10, Q11, Q13, Q14, Q15, Q16, Q19, Q21, Q22, Q23, Q25, Q26</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(5): Q1, Q2, Q3, Q4, Q5</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(6): Q6, Q7, Q8, Q9, Q10, Q11</w:t>
      </w:r>
    </w:p>
    <w:p>
      <w:pPr>
        <w:pStyle w:val="ListParagraph"/>
        <w:numPr>
          <w:ilvl w:val="0"/>
          <w:numId w:val="3"/>
        </w:numPr>
        <w:spacing w:after="40"/>
      </w:pPr>
      <w:r>
        <w:rPr>
          <w:rFonts w:ascii="Arial" w:cs="Arial" w:eastAsia="Arial" w:hAnsi="Arial"/>
          <w:color w:val="1C1B16"/>
          <w:sz w:val="21"/>
          <w:szCs w:val="21"/>
        </w:rPr>
        <w:t xml:space="preserve">Part 3, What was the model allowed to know? (5): Q12, Q13, Q14, Q15, Q16</w:t>
      </w:r>
    </w:p>
    <w:p>
      <w:pPr>
        <w:pStyle w:val="ListParagraph"/>
        <w:numPr>
          <w:ilvl w:val="0"/>
          <w:numId w:val="3"/>
        </w:numPr>
        <w:spacing w:after="40"/>
      </w:pPr>
      <w:r>
        <w:rPr>
          <w:rFonts w:ascii="Arial" w:cs="Arial" w:eastAsia="Arial" w:hAnsi="Arial"/>
          <w:color w:val="1C1B16"/>
          <w:sz w:val="21"/>
          <w:szCs w:val="21"/>
        </w:rPr>
        <w:t xml:space="preserve">Part 4, Is the model learning, or memorising? (6): Q17, Q18, Q19, Q20, Q21, Q22</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(4): Q23, Q24, Q25, Q26</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Q2 (One correct option, Hard, [S]): On Thursday an analyst opens the sealed test slice, sees 0.79, moves the threshold until the test score improves and reports the new test score to the committee. What is wrong, and what should the committee be told?</w:t>
      </w:r>
    </w:p>
    <w:p>
      <w:pPr>
        <w:pStyle w:val="ListParagraph"/>
        <w:numPr>
          <w:ilvl w:val="0"/>
          <w:numId w:val="3"/>
        </w:numPr>
        <w:spacing w:after="40"/>
      </w:pPr>
      <w:r>
        <w:rPr>
          <w:rFonts w:ascii="Arial" w:cs="Arial" w:eastAsia="Arial" w:hAnsi="Arial"/>
          <w:color w:val="1C1B16"/>
          <w:sz w:val="21"/>
          <w:szCs w:val="21"/>
        </w:rPr>
        <w:t xml:space="preserve">Q3 (True or false, Hard, [D]): The calls run in date order. On the week's run the earliest 70 percent of rows say yes 5.6 percent of the time and the latest 30 percent say yes 24.6 percent of the time. Statement: for the question "whom do we call in the next campaign", a random split of all the rows estimates the model's score as honestly as a split by date. True or false, and why?</w:t>
      </w:r>
    </w:p>
    <w:p>
      <w:pPr>
        <w:pStyle w:val="ListParagraph"/>
        <w:numPr>
          <w:ilvl w:val="0"/>
          <w:numId w:val="3"/>
        </w:numPr>
        <w:spacing w:after="40"/>
      </w:pPr>
      <w:r>
        <w:rPr>
          <w:rFonts w:ascii="Arial" w:cs="Arial" w:eastAsia="Arial" w:hAnsi="Arial"/>
          <w:color w:val="1C1B16"/>
          <w:sz w:val="21"/>
          <w:szCs w:val="21"/>
        </w:rPr>
        <w:t xml:space="preserve">Q4 (One correct option, Medium, [F]): The logistic model gives one client a score of 0.71. What does the 0.71 say?</w:t>
      </w:r>
    </w:p>
    <w:p>
      <w:pPr>
        <w:pStyle w:val="ListParagraph"/>
        <w:numPr>
          <w:ilvl w:val="0"/>
          <w:numId w:val="3"/>
        </w:numPr>
        <w:spacing w:after="40"/>
      </w:pPr>
      <w:r>
        <w:rPr>
          <w:rFonts w:ascii="Arial" w:cs="Arial" w:eastAsia="Arial" w:hAnsi="Arial"/>
          <w:color w:val="1C1B16"/>
          <w:sz w:val="21"/>
          <w:szCs w:val="21"/>
        </w:rPr>
        <w:t xml:space="preserve">Q5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Q7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Q8 (Applied maths, Hard,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Q9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Q10 (One correct option, Hard, [S]): At Rs 40 a wasted call and Rs 1,200 a missed buyer, what is the error bill at the thresholds of 0.5 and 0.10 in Exhibit 2B, and which costs less?</w:t>
      </w:r>
    </w:p>
    <w:p>
      <w:pPr>
        <w:pStyle w:val="ListParagraph"/>
        <w:numPr>
          <w:ilvl w:val="0"/>
          <w:numId w:val="3"/>
        </w:numPr>
        <w:spacing w:after="40"/>
      </w:pPr>
      <w:r>
        <w:rPr>
          <w:rFonts w:ascii="Arial" w:cs="Arial" w:eastAsia="Arial" w:hAnsi="Arial"/>
          <w:color w:val="1C1B16"/>
          <w:sz w:val="21"/>
          <w:szCs w:val="21"/>
        </w:rPr>
        <w:t xml:space="preserve">Q11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Q13 (One correct option, Hard,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Q14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Q15 (True or false, Hard, [F]): In the leaky model duration tops the importance chart, and clients who said yes talked 553 seconds on average against 221 for those who said no. Statement: longer calls cause deposits, so agents should be coached to keep clients on the line. True or false, and why?</w:t>
      </w:r>
    </w:p>
    <w:p>
      <w:pPr>
        <w:pStyle w:val="ListParagraph"/>
        <w:numPr>
          <w:ilvl w:val="0"/>
          <w:numId w:val="3"/>
        </w:numPr>
        <w:spacing w:after="40"/>
      </w:pPr>
      <w:r>
        <w:rPr>
          <w:rFonts w:ascii="Arial" w:cs="Arial" w:eastAsia="Arial" w:hAnsi="Arial"/>
          <w:color w:val="1C1B16"/>
          <w:sz w:val="21"/>
          <w:szCs w:val="21"/>
        </w:rPr>
        <w:t xml:space="preserve">Q16 (One correct option, Hard, [F]): On its own, euribor3m takes a coefficient of -0.92 on the standardised scale; beside the four other economic indicators it takes +0.39. What is the likeliest cause?</w:t>
      </w:r>
    </w:p>
    <w:p>
      <w:pPr>
        <w:pStyle w:val="ListParagraph"/>
        <w:numPr>
          <w:ilvl w:val="0"/>
          <w:numId w:val="3"/>
        </w:numPr>
        <w:spacing w:after="40"/>
      </w:pPr>
      <w:r>
        <w:rPr>
          <w:rFonts w:ascii="Arial" w:cs="Arial" w:eastAsia="Arial" w:hAnsi="Arial"/>
          <w:color w:val="1C1B16"/>
          <w:sz w:val="21"/>
          <w:szCs w:val="21"/>
        </w:rPr>
        <w:t xml:space="preserve">Q19 (One correct option, Hard,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Q20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Q21 (One correct option, Hard,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Q22 (True or false, Hard, [D]): Statement: gradient boosting should go into the memo, since it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Q23 (One correct option, Hard, [F]): Which monitoring rule would have caught the bank's model going stale earliest?</w:t>
      </w:r>
    </w:p>
    <w:p>
      <w:pPr>
        <w:pStyle w:val="ListParagraph"/>
        <w:numPr>
          <w:ilvl w:val="0"/>
          <w:numId w:val="3"/>
        </w:numPr>
        <w:spacing w:after="40"/>
      </w:pPr>
      <w:r>
        <w:rPr>
          <w:rFonts w:ascii="Arial" w:cs="Arial" w:eastAsia="Arial" w:hAnsi="Arial"/>
          <w:color w:val="1C1B16"/>
          <w:sz w:val="21"/>
          <w:szCs w:val="21"/>
        </w:rPr>
        <w:t xml:space="preserve">Q24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Q25 (One correct option, Hard, [D]): Anand Iyer asks what evidence would make him sign. Across 23 comparisons, Booking.com found offline gains and business gains almost uncorrelated (Exhibit 5B). What does the memo propose?</w:t>
      </w:r>
    </w:p>
    <w:p>
      <w:pPr>
        <w:pStyle w:val="ListParagraph"/>
        <w:numPr>
          <w:ilvl w:val="0"/>
          <w:numId w:val="3"/>
        </w:numPr>
        <w:spacing w:after="40"/>
      </w:pPr>
      <w:r>
        <w:rPr>
          <w:rFonts w:ascii="Arial" w:cs="Arial" w:eastAsia="Arial" w:hAnsi="Arial"/>
          <w:color w:val="1C1B16"/>
          <w:sz w:val="21"/>
          <w:szCs w:val="21"/>
        </w:rPr>
        <w:t xml:space="preserve">Q26 (One correct option, Hard, [D]): Rohan Desai's lending book: approving a borrower who defaults costs Rs 60,000, and rejecting a good borrower costs Rs 3,000 of lost interest. Where does Rohan's approval line go?</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6 (True or false, Easy, Tue), folded into Q7: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Q15: The statement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Q20: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Q22: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Q5: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Q4: The item asks what a logistic score of 0.71 says about one client, with bank 11's three misreadings as the distractors and the calibration condition added to the key.</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Q9: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Q26: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Q13: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Q16: The item is bank 15's sign flip as the week measured it, euribor3m from -0.92 alone to +0.39 beside the other indicators, with the same four causes as options.</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Q19: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Q23: The key is bank 17's monitoring rule made concrete on the bank's late rows, the called clients' yes rate against the mean score with a stated gap, and its distractors are bank 17's three.</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Q7: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Q14: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Q20: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Q24: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Q8: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Q8: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Q10: The item prices the week's real matrix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Q10: The item compares the bill at two thresholds and asks which costs less, which is bank 25's question on the week's own thresholds, and its distractors are the three ways the bill is usually miscounted.</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Q7: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Q8: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Q9: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Q21: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clear the spread of the folds,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2026-10-28T10:39:25.439Z</dcterms:created>
  <dcterms:modified xsi:type="dcterms:W3CDTF">2026-10-28T10:39:25.439Z</dcterms:modified>
</cp:coreProperties>
</file>

<file path=docProps/custom.xml><?xml version="1.0" encoding="utf-8"?>
<Properties xmlns="http://schemas.openxmlformats.org/officeDocument/2006/custom-properties" xmlns:vt="http://schemas.openxmlformats.org/officeDocument/2006/docPropsVTypes"/>
</file>