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w:t>
      </w:r>
    </w:p>
    <w:p>
      <w:pPr>
        <w:keepNext w:val="false"/>
        <w:spacing w:after="160"/>
      </w:pPr>
      <w:r>
        <w:rPr>
          <w:rFonts w:ascii="Arial" w:cs="Arial" w:eastAsia="Arial" w:hAnsi="Arial"/>
          <w:color w:val="6B675E"/>
          <w:sz w:val="21"/>
          <w:szCs w:val="21"/>
        </w:rPr>
        <w:t xml:space="preserve">Cohort 2 | Week 5 | Saturday 7 November 2026 | 60 minutes | 26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one real file carried every decision: 41,188 calls a Portuguese bank made to sell a term deposit, scored by the pipeline the room ran from Monday to Friday. The same questions ran on Kalpa in the lab, priced in Kalpa's rupees. This paper puts the week's calls back to you: whether a question needs a model and how the rows are split, which number tells the truth on a lopsided outcome and where the threshold goes, which columns the model was allowed to know, whether a model is learning or memorising, and what the committee needs before it signs and what moves to lending. The room's score in each part, set beside the rating you give that part in step one, tells the next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60 minutes in one sitting for 26 items, which the blueprint paces at 59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part opens on the UCI Bank Marketing dataset (Moro, Rita and Cortez, CC BY 4.0), a real bank's real calls, and on the numbers the week's pipeline printed on it; the rupee costs are Kalpa's, from the labs. Kalpa Retail's people are Meera Raghavan, the CEO, and Anand Iyer, the finance controller, with the marketing lead named by role; Kalpa Financial Services is Rohan Desai's payments and lending business, where he is head of risk. Items that use a public case (Instacart, Booking.com)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Q5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Q6 to Q11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Q26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15</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59 of the 60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575"/>
        <w:gridCol w:w="1827"/>
        <w:gridCol w:w="1993"/>
        <w:gridCol w:w="1661"/>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10.5 min</w:t>
            </w:r>
          </w:p>
        </w:tc>
        <w:tc>
          <w:tcPr>
            <w:tcW w:type="dxa" w:w="257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15.5 min</w:t>
            </w:r>
          </w:p>
        </w:tc>
        <w:tc>
          <w:tcPr>
            <w:tcW w:type="dxa" w:w="1827"/>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11 min</w:t>
            </w:r>
          </w:p>
        </w:tc>
        <w:tc>
          <w:tcPr>
            <w:tcW w:type="dxa" w:w="199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12 min</w:t>
            </w:r>
          </w:p>
        </w:tc>
        <w:tc>
          <w:tcPr>
            <w:tcW w:type="dxa" w:w="166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10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5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10.5</w:t>
            </w:r>
          </w:p>
        </w:tc>
        <w:tc>
          <w:tcPr>
            <w:tcW w:type="dxa" w:w="182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26</w:t>
            </w:r>
          </w:p>
        </w:tc>
        <w:tc>
          <w:tcPr>
            <w:tcW w:type="dxa" w:w="199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37</w:t>
            </w:r>
          </w:p>
        </w:tc>
        <w:tc>
          <w:tcPr>
            <w:tcW w:type="dxa" w:w="166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49</w:t>
            </w:r>
          </w:p>
        </w:tc>
      </w:tr>
    </w:tbl>
    <w:p>
      <w:pPr>
        <w:keepNext/>
        <w:pBdr>
          <w:bottom w:val="single" w:color="B37A33" w:sz="6" w:space="4"/>
        </w:pBdr>
        <w:spacing w:after="120" w:before="280"/>
      </w:pPr>
      <w:r>
        <w:rPr>
          <w:rFonts w:ascii="Georgia" w:cs="Georgia" w:eastAsia="Georgia" w:hAnsi="Georgia"/>
          <w:color w:val="B37A33"/>
          <w:sz w:val="30"/>
          <w:szCs w:val="30"/>
        </w:rPr>
        <w:t xml:space="preserve">Part 1. Should the bank build a model, and what must it beat?</w:t>
      </w:r>
    </w:p>
    <w:p>
      <w:pPr>
        <w:keepNext/>
        <w:spacing w:after="160" w:line="276"/>
      </w:pPr>
      <w:r>
        <w:rPr>
          <w:rFonts w:ascii="Arial" w:cs="Arial" w:eastAsia="Arial" w:hAnsi="Arial"/>
          <w:color w:val="6B675E"/>
          <w:sz w:val="19"/>
          <w:szCs w:val="19"/>
        </w:rPr>
        <w:t xml:space="preserve">5 items, Q1 to Q5, about 10.5 minutes. What it shows: whether you can frame a prediction problem, split the rows honestly and read what a model's score says.</w:t>
      </w:r>
    </w:p>
    <w:p>
      <w:pPr>
        <w:keepNext/>
        <w:spacing w:after="140" w:line="276"/>
      </w:pPr>
      <w:r>
        <w:rPr>
          <w:rFonts w:ascii="Arial" w:cs="Arial" w:eastAsia="Arial" w:hAnsi="Arial"/>
          <w:color w:val="1C1B16"/>
          <w:sz w:val="21"/>
          <w:szCs w:val="21"/>
        </w:rPr>
        <w:t xml:space="preserve">From May 2008 to November 2010 a Portuguese retail bank phoned its clients to sell a term deposit. The UCI Machine Learning Repository publishes the 41,188 calls, in date order, as the Bank Marketing dataset (bank-additional-full.csv, CC BY 4.0), and 4,640 of them, 11.27 percent, ended in a yes. This week the room ran one pipeline on that file: on Monday 20 percent of the rows were sealed as the test slice, to be opened once on Friday, and the rest split three to one into training and validation. Exhibit 1A shows the week's picture, the slices and the first two scores on the 8,238 validation clients. The bank's marketing head asks whom to call in the next campaign. In the lab the same question ran at Kalpa Retail, where the marketing lead asked which members to nudge and Anand Iyer priced a wasted nudge at Rs 40 and a missed repeat buyer at about Rs 1,200.</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week's picture and the week's split: UCI Bank Marketing, bank-additional-full.csv, as the week's pipeline split and scored it (random seed 42, the outcome kept at the same share in every slice).</w:t>
            </w:r>
          </w:p>
          <w:p>
            <w:pPr>
              <w:keepNext/>
              <w:spacing w:after="80" w:before="80"/>
              <w:jc w:val="center"/>
            </w:pPr>
            <w:r>
              <w:drawing>
                <wp:inline distT="0" distB="0" distL="0" distR="0">
                  <wp:extent cx="5905500" cy="8763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8763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5310"/>
              <w:gridCol w:w="4489"/>
            </w:tblGrid>
            <w:tr>
              <w:trPr>
                <w:cantSplit/>
                <w:tblHeader/>
              </w:trPr>
              <w:tc>
                <w:tcPr>
                  <w:tcW w:type="dxa" w:w="531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44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Training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24,712 clients, 11.27 percent yes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Validation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928 of them yes (11.26 percent)</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Test slice, sealed on Monday</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opened once on Friday</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 on validation</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0.887; finds 0 of the 928 buyers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the customer table, threshold 0.5</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0.897; AUC 0.761; finds 174 of the 928</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training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validation</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test</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threshold</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sealed slice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Of the three data splits, the ____ set is spent once, at the end.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Catch the peek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Thursday an analyst opens the sealed test slice, sees 0.79, moves the threshold until the test score improves and reports the new test score to the committee. What is wrong, and what should the committee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Nothing is wrong: the test rows were never used to fit the weights, so any score read from them stays honest.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test helped choose the threshold, so its score flatters; say it was spent and score once on new calls.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threshold belongs on the training rows, so move it there and the test score can be reported as it stands.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slice is too small at 8,238 clients, so merge it with validation and report the pooled score as the test.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split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calls run in date order. On the week's run the earliest 70 percent of rows say yes 5.6 percent of the time and the latest 30 percent say yes 24.6 percent of the time. Statement: for the question "whom do we call in the next campaign", a random split of all the rows estimates the model's score as honestly as a split by date.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the split keeps 11.27 percent yes in every slice, so each slice is a fair sample of the bank's clients.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model never reads a date column, so the order in which the calls were made cannot move its score.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random split trains on later months than it validates on; train early and score late, like the ask.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random split leaves too few yes rows in validation, so its score is noisy; a split by date adds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one score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logistic model gives one client a score of 0.71. What does the 0.71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 will say yes, because any score above 0.5 is read by the model as a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model is right about 71 percent of the clients it scores on the validation slice.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 is 71 percent more likely to say yes than the average client in the file is.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 clients scored like this one, about 71 in 100 say yes, if the scores are calibrated.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Sort the asks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bank's marketing head brings four asks. Which need a model that predicts?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clients to call first next month, ranked by their chance of saying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of yes answers in each month of 2009, for the annual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clients whose previous campaign ended in success, listed by branch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chance that a client never called before says yes on the first call</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number tells the truth, and where does the line go?</w:t>
      </w:r>
    </w:p>
    <w:p>
      <w:pPr>
        <w:keepNext/>
        <w:spacing w:after="160" w:line="276"/>
      </w:pPr>
      <w:r>
        <w:rPr>
          <w:rFonts w:ascii="Arial" w:cs="Arial" w:eastAsia="Arial" w:hAnsi="Arial"/>
          <w:color w:val="6B675E"/>
          <w:sz w:val="19"/>
          <w:szCs w:val="19"/>
        </w:rPr>
        <w:t xml:space="preserve">6 items, Q6 to Q11, about 15.5 minutes. What it shows: whether you can read a confusion matrix, price each error and set the line the business can afford.</w:t>
      </w:r>
    </w:p>
    <w:p>
      <w:pPr>
        <w:keepNext/>
        <w:spacing w:after="140" w:line="276"/>
      </w:pPr>
      <w:r>
        <w:rPr>
          <w:rFonts w:ascii="Arial" w:cs="Arial" w:eastAsia="Arial" w:hAnsi="Arial"/>
          <w:color w:val="1C1B16"/>
          <w:sz w:val="21"/>
          <w:szCs w:val="21"/>
        </w:rPr>
        <w:t xml:space="preserve">On Tuesday the room scored the customer-table model the way the business will judge it. Exhibit 2A gives two matrices on the same 8,238 validation clients: calling nobody, and the model at the default threshold of 0.5. Each outcome is priced at Kalpa's costs, as Tuesday priced them: a call to a client who says no wastes Rs 40, and a buyer the list leaves out loses about Rs 1,200 of margin. The marketing head's question is the bank's version of the marketing lead's at Kalpa: whom to call, and how many.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Two confusion matrices on the 8,238 validation clients, and what each box costs at Kalpa's prices.</w:t>
            </w:r>
          </w:p>
          <w:p>
            <w:pPr>
              <w:keepNext/>
              <w:spacing w:after="80" w:before="80"/>
              <w:jc w:val="center"/>
            </w:pPr>
            <w:r>
              <w:drawing>
                <wp:inline distT="0" distB="0" distL="0" distR="0">
                  <wp:extent cx="5905500" cy="22764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76475"/>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495"/>
              <w:gridCol w:w="1917"/>
              <w:gridCol w:w="1812"/>
              <w:gridCol w:w="2340"/>
              <w:gridCol w:w="2234"/>
            </w:tblGrid>
            <w:tr>
              <w:trPr>
                <w:cantSplit/>
                <w:tblHeader/>
              </w:trPr>
              <w:tc>
                <w:tcPr>
                  <w:tcW w:type="dxa" w:w="149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Matrix</w:t>
                  </w:r>
                </w:p>
              </w:tc>
              <w:tc>
                <w:tcPr>
                  <w:tcW w:type="dxa" w:w="19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yes</w:t>
                  </w:r>
                </w:p>
              </w:tc>
              <w:tc>
                <w:tcPr>
                  <w:tcW w:type="dxa" w:w="18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no</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yes</w:t>
                  </w:r>
                </w:p>
              </w:tc>
              <w:tc>
                <w:tcPr>
                  <w:tcW w:type="dxa" w:w="22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no</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928</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7,310</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Model at 0.5</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7,216</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2</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positives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negatives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calls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thresholds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formula</w:t>
            </w:r>
            <w:r>
              <w:rPr>
                <w:rFonts w:ascii="Arial" w:cs="Arial" w:eastAsia="Arial" w:hAnsi="Arial"/>
                <w:i/>
                <w:iCs/>
                <w:color w:val="6B675E"/>
                <w:sz w:val="18"/>
                <w:szCs w:val="18"/>
              </w:rPr>
              <w:t xml:space="preserve">  ·  a letter from Word bank 2</w:t>
            </w:r>
          </w:p>
          <w:p>
            <w:pPr>
              <w:keepNext/>
              <w:spacing w:after="80" w:line="276"/>
            </w:pPr>
            <w:r>
              <w:rPr>
                <w:rFonts w:ascii="Arial" w:cs="Arial" w:eastAsia="Arial" w:hAnsi="Arial"/>
                <w:color w:val="1C1B16"/>
                <w:sz w:val="21"/>
                <w:szCs w:val="21"/>
              </w:rPr>
              <w:t xml:space="preserve">Recall is true positives divided by true positives plus false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accuracy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 accuracy of 0.897 against 0.887 for calling nobody shows that the model at 0.5 is good enough to run the campaign.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it beats its baseline on the same 8,238 clients, and a model that beats its baseline is ready to run.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it gets 848 clients wrong against the baseline's 928, so it makes 80 fewer mistakes in the campaign.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accuracy is fair only on the sealed test slice, so 0.897 means nothing until Friday's envelope is opened.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calling nobody already scores 0.887, so accuracy says little; at 0.5 the model finds 174 of 928 buyers.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Work the matrix</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From the model's row of Exhibit 2A, compute its precision, recall and F1 at the threshold of 0.5, each to two decimal places.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Draw the line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call to a client who says no wastes Rs 40, and a buyer left off the list loses about Rs 1,200. Above what chance of a yes is a call worth making, and which way does that move the threshold from 0.5?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customer-table model at four thresholds on the 8,238 validation clients, and the week's budget cut: everyone ranked by score.</w:t>
            </w:r>
          </w:p>
          <w:tbl>
            <w:tblPr>
              <w:tblW w:type="dxa" w:w="886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100"/>
              <w:gridCol w:w="1820"/>
              <w:gridCol w:w="1700"/>
              <w:gridCol w:w="182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Threshold or cut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Caught buyers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Wasted calls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Missed buyers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552</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2,754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312</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cost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7,438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6,525</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 1,000 by score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596</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524</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two thresholds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Rs 40 a wasted call and Rs 1,200 a missed buyer, what is the error bill at the thresholds of 0.5 and 0.10 in Exhibit 2B, and which costs less?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142,960 at 0.5 and Rs 2,578,080 at 0.10, so 0.5 is cheaper by Rs 2,435,120.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908,560 at 0.5 and Rs 459,920 at 0.10, so 0.10 is cheaper by Rs 448,640.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3,760 at 0.5 and Rs 85,520 at 0.10, so 0.5 is cheaper by Rs 81,760 in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904,800 at 0.5 and Rs 374,400 at 0.10, so 0.10 is cheaper by Rs 530,400.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Spend 1,000 calls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 centre can make 1,000 calls in the next campaign, and the cost line would call 7,438 of these 8,238 clients (Exhibit 2B). Which plan goes to the marketing head?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Keep the cost line and call the first 1,000 clients above it in the order the file lists them.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 the threshold to 0.5 and call its 268 clients, since precision is the highest there, at 0.65.</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every client by score and call the top 1,000; 404 of them said yes, 3.6 times the base rate.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Call 1,000 clients drawn at random, since a ranking on an outcome this rare is mostly noise.</w:t>
            </w:r>
          </w:p>
        </w:tc>
      </w:tr>
    </w:tbl>
    <w:p>
      <w:pPr>
        <w:keepNext/>
        <w:pBdr>
          <w:bottom w:val="single" w:color="B37A33" w:sz="6" w:space="4"/>
        </w:pBdr>
        <w:spacing w:after="120" w:before="280"/>
      </w:pPr>
      <w:r>
        <w:rPr>
          <w:rFonts w:ascii="Georgia" w:cs="Georgia" w:eastAsia="Georgia" w:hAnsi="Georgia"/>
          <w:color w:val="B37A33"/>
          <w:sz w:val="30"/>
          <w:szCs w:val="30"/>
        </w:rPr>
        <w:t xml:space="preserve">Part 3. What was the model allowed to know?</w:t>
      </w:r>
    </w:p>
    <w:p>
      <w:pPr>
        <w:keepNext/>
        <w:spacing w:after="160" w:line="276"/>
      </w:pPr>
      <w:r>
        <w:rPr>
          <w:rFonts w:ascii="Arial" w:cs="Arial" w:eastAsia="Arial" w:hAnsi="Arial"/>
          <w:color w:val="6B675E"/>
          <w:sz w:val="19"/>
          <w:szCs w:val="19"/>
        </w:rPr>
        <w:t xml:space="preserve">5 items, Q12 to Q16, about 11 minutes. What it shows: whether you can test each column against the moment of prediction and say what a coefficient does and does not prove.</w:t>
      </w:r>
    </w:p>
    <w:p>
      <w:pPr>
        <w:keepNext/>
        <w:spacing w:after="140" w:line="276"/>
      </w:pPr>
      <w:r>
        <w:rPr>
          <w:rFonts w:ascii="Arial" w:cs="Arial" w:eastAsia="Arial" w:hAnsi="Arial"/>
          <w:color w:val="1C1B16"/>
          <w:sz w:val="21"/>
          <w:szCs w:val="21"/>
        </w:rPr>
        <w:t xml:space="preserve">On Wednesday two more feeds were joined to the customer table: five economic indicators, each published for its month or quarter, and the call log. Exhibit 3A gives the validation scores as each feed joins. A junior analyst wants to ship the last line tonight. The dataset's own notes, read aloud in class, say that the call's duration "is not known before a call is performed" and "should be discarded if the intention is to have a realistic predictive model" (bank-additional-names.txt in the UCI download). In the lab Kalpa's feed held the same trap in settlement_status, a field written after delivery.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What is known when, and the logistic model's validation scores as each feed joins, threshold 0.5, the 928 validation buyers.</w:t>
            </w:r>
          </w:p>
          <w:p>
            <w:pPr>
              <w:keepNext/>
              <w:spacing w:after="80" w:before="80"/>
              <w:jc w:val="center"/>
            </w:pPr>
            <w:r>
              <w:drawing>
                <wp:inline distT="0" distB="0" distL="0" distR="0">
                  <wp:extent cx="5257800" cy="2057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057400"/>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5017"/>
              <w:gridCol w:w="1418"/>
              <w:gridCol w:w="1506"/>
              <w:gridCol w:w="1857"/>
            </w:tblGrid>
            <w:tr>
              <w:trPr>
                <w:cantSplit/>
                <w:tblHeader/>
              </w:trPr>
              <w:tc>
                <w:tcPr>
                  <w:tcW w:type="dxa" w:w="50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 in the model</w:t>
                  </w:r>
                </w:p>
              </w:tc>
              <w:tc>
                <w:tcPr>
                  <w:tcW w:type="dxa" w:w="141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c>
                <w:tcPr>
                  <w:tcW w:type="dxa" w:w="15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 at 0.5</w:t>
                  </w:r>
                </w:p>
              </w:tc>
              <w:tc>
                <w:tcPr>
                  <w:tcW w:type="dxa" w:w="185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Buyers found at 0.5</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profile and campaign history</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0.761</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and the five economic indicators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of those and duration, the call's length in seconds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0.932</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390</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3</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drift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imbalance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leakage</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collinearity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overfitting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trap</w:t>
            </w:r>
            <w:r>
              <w:rPr>
                <w:rFonts w:ascii="Arial" w:cs="Arial" w:eastAsia="Arial" w:hAnsi="Arial"/>
                <w:i/>
                <w:iCs/>
                <w:color w:val="6B675E"/>
                <w:sz w:val="18"/>
                <w:szCs w:val="18"/>
              </w:rPr>
              <w:t xml:space="preserve">  ·  a letter from Word bank 3</w:t>
            </w:r>
          </w:p>
          <w:p>
            <w:pPr>
              <w:keepNext/>
              <w:spacing w:after="80" w:line="276"/>
            </w:pPr>
            <w:r>
              <w:rPr>
                <w:rFonts w:ascii="Arial" w:cs="Arial" w:eastAsia="Arial" w:hAnsi="Arial"/>
                <w:color w:val="1C1B16"/>
                <w:sz w:val="21"/>
                <w:szCs w:val="21"/>
              </w:rPr>
              <w:t xml:space="preserve">A feature that would not be known at prediction time is a case of data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junior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junior's message reads: "Adding duration lifts AUC from 0.795 to 0.932. Shipping tonight." What is the reply?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it: the dataset's authors put duration in the file, so it is a fair column for the model.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 it: accuracy only rose from 0.899 to 0.907, so the AUC jump must be noise in validation.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a call's length exists only once the call ends, so no list can use it; report 0.795.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it but scale it first, since a column measured in raw seconds is what inflates the AUC.</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Test each column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list for next month's campaign is built on the morning before the first call. Which columns pass the prediction-time question?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duration, the length in seconds of this campaign's last call to the client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poutcome, the last campaign's result; 65 percent of its successes say yes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age, job and housing, as they stand in the customer table that morning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euribor3m, the three-month rate as published on the morning of the list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chart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the leaky model duration tops the importance chart, and clients who said yes talked 553 seconds on average against 221 for those who said no. Statement: longer calls cause deposits, so agents should be coached to keep clients on the line.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client who means to buy stays on to arrange it, so the yes drives the length as much as the reverse.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an importance chart is valid for tree models only, so the logistic weights say nothing about duration.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duration carries the largest weight in the model, and the largest weight marks the cause of the yes.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a gap of 332 seconds is too large to be chance across 41,188 calls, so the effect has to be causal.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Explain the flip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its own, euribor3m takes a coefficient of -0.92 on the standardised scale; beside the four other economic indicators it takes +0.39.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bug in the library's solver, which flips signs once a model has more than ten columns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too few rows: 24,712 training clients cannot pin down five coefficients at once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11 percent yes rate, which pushes the coefficients of a rare outcome toward zero</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five indicators move together, so the model splits one shared signal among them</w:t>
            </w:r>
          </w:p>
        </w:tc>
      </w:tr>
    </w:tbl>
    <w:p>
      <w:pPr>
        <w:keepNext/>
        <w:pBdr>
          <w:bottom w:val="single" w:color="B37A33" w:sz="6" w:space="4"/>
        </w:pBdr>
        <w:spacing w:after="120" w:before="280"/>
      </w:pPr>
      <w:r>
        <w:rPr>
          <w:rFonts w:ascii="Georgia" w:cs="Georgia" w:eastAsia="Georgia" w:hAnsi="Georgia"/>
          <w:color w:val="B37A33"/>
          <w:sz w:val="30"/>
          <w:szCs w:val="30"/>
        </w:rPr>
        <w:t xml:space="preserve">Part 4. Is the model learning, or memorising?</w:t>
      </w:r>
    </w:p>
    <w:p>
      <w:pPr>
        <w:keepNext/>
        <w:spacing w:after="160" w:line="276"/>
      </w:pPr>
      <w:r>
        <w:rPr>
          <w:rFonts w:ascii="Arial" w:cs="Arial" w:eastAsia="Arial" w:hAnsi="Arial"/>
          <w:color w:val="6B675E"/>
          <w:sz w:val="19"/>
          <w:szCs w:val="19"/>
        </w:rPr>
        <w:t xml:space="preserve">6 items, Q17 to Q22, about 12 minutes. What it shows: whether you can read training against validation, choose complexity by cross-validation and say when the simpler model ships.</w:t>
      </w:r>
    </w:p>
    <w:p>
      <w:pPr>
        <w:keepNext/>
        <w:spacing w:after="140" w:line="276"/>
      </w:pPr>
      <w:r>
        <w:rPr>
          <w:rFonts w:ascii="Arial" w:cs="Arial" w:eastAsia="Arial" w:hAnsi="Arial"/>
          <w:color w:val="1C1B16"/>
          <w:sz w:val="21"/>
          <w:szCs w:val="21"/>
        </w:rPr>
        <w:t xml:space="preserve">On Thursday the room grew a decision tree on the honest columns, the customer table and the economic indicators, first with no limit on its depth and then reined in. Exhibit 4A gives the tree's training and validation scores by depth; calling nobody scores 0.887 accuracy on the same validation clients. The committee's question for Friday is which model goes into the memo, and why that one.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A decision tree on the honest columns: accuracy on training and on validation by maximum depth, with validation AUC, the week's split.</w:t>
            </w:r>
          </w:p>
          <w:p>
            <w:pPr>
              <w:keepNext/>
              <w:spacing w:after="80" w:before="80"/>
              <w:jc w:val="center"/>
            </w:pPr>
            <w:r>
              <w:drawing>
                <wp:inline distT="0" distB="0" distL="0" distR="0">
                  <wp:extent cx="5905500" cy="27717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8600"/>
              <w:tblBorders>
                <w:top w:val="single" w:color="D5D0C4" w:sz="4"/>
                <w:left w:val="single" w:color="D5D0C4" w:sz="4"/>
                <w:bottom w:val="single" w:color="D5D0C4" w:sz="4"/>
                <w:right w:val="single" w:color="D5D0C4" w:sz="4"/>
                <w:insideH w:val="single" w:color="D5D0C4" w:sz="4"/>
                <w:insideV w:val="single" w:color="D5D0C4" w:sz="4"/>
              </w:tblBorders>
            </w:tblPr>
            <w:tblGrid>
              <w:gridCol w:w="1820"/>
              <w:gridCol w:w="2300"/>
              <w:gridCol w:w="2540"/>
              <w:gridCol w:w="1940"/>
            </w:tblGrid>
            <w:tr>
              <w:trPr>
                <w:cantSplit/>
                <w:tblHeader/>
              </w:trPr>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Maximum depth</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Training accuracy</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accuracy</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0.900</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0.751</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0.783</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0.911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0.777</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 limit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0.996</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0.837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0.619</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4</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overfitting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underfitting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threshold</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split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leakage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seed</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failure</w:t>
            </w:r>
            <w:r>
              <w:rPr>
                <w:rFonts w:ascii="Arial" w:cs="Arial" w:eastAsia="Arial" w:hAnsi="Arial"/>
                <w:i/>
                <w:iCs/>
                <w:color w:val="6B675E"/>
                <w:sz w:val="18"/>
                <w:szCs w:val="18"/>
              </w:rPr>
              <w:t xml:space="preserve">  ·  a letter from Word bank 4</w:t>
            </w:r>
          </w:p>
          <w:p>
            <w:pPr>
              <w:keepNext/>
              <w:spacing w:after="80" w:line="276"/>
            </w:pPr>
            <w:r>
              <w:rPr>
                <w:rFonts w:ascii="Arial" w:cs="Arial" w:eastAsia="Arial" w:hAnsi="Arial"/>
                <w:color w:val="1C1B16"/>
                <w:sz w:val="21"/>
                <w:szCs w:val="21"/>
              </w:rPr>
              <w:t xml:space="preserve">A model that scores 100 percent on training and 61 percent on validation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what averages out</w:t>
            </w:r>
            <w:r>
              <w:rPr>
                <w:rFonts w:ascii="Arial" w:cs="Arial" w:eastAsia="Arial" w:hAnsi="Arial"/>
                <w:i/>
                <w:iCs/>
                <w:color w:val="6B675E"/>
                <w:sz w:val="18"/>
                <w:szCs w:val="18"/>
              </w:rPr>
              <w:t xml:space="preserve">  ·  a letter from Word bank 4</w:t>
            </w:r>
          </w:p>
          <w:p>
            <w:pPr>
              <w:keepNext/>
              <w:spacing w:after="80" w:line="276"/>
            </w:pPr>
            <w:r>
              <w:rPr>
                <w:rFonts w:ascii="Arial" w:cs="Arial" w:eastAsia="Arial" w:hAnsi="Arial"/>
                <w:color w:val="1C1B16"/>
                <w:sz w:val="21"/>
                <w:szCs w:val="21"/>
              </w:rPr>
              <w:t xml:space="preserve">Cross-validation averages away the luck of one particular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depth curve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unlimited tree scores 0.996 on training and 0.837 on validation, below calling nobody. Which reading and which next step are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memorised the training clients; cap the depth where validation AUC peaks, depth 5 here.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needs more columns to learn from; join the call log so validation catches up with training.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has not trained long enough; grow it further until validation rises to meet training.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Validation has drifted from training; refit the unlimited tree on validation and report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Pick the brakes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put a brake on overfitting?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capping the tree's depth, or asking for more clients in every leaf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stronger penalty on the logistic weights, a smaller C in scikit-learn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refitting until the training rows score 1.0 at every new setting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choosing the depth or the penalty by five-fold cross-validation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Five-fold cross-validation of the logistic model on the 24,712 training clients, honest columns, and three model families scored on the 8,238 validation clients.</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AUC</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0.771</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0.797</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0.798</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mean of the five folds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Gradient boosting,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0.806</w:t>
                  </w:r>
                </w:p>
              </w:tc>
            </w:tr>
          </w:tbl>
          <w:p>
            <w:pPr>
              <w:keepNext/>
              <w:spacing w:after="140" w:before="0"/>
            </w:pPr>
          </w:p>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folds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Five-fold cross-validation of the logistic model gave the five fold scores in Exhibit 4B. How many models were fitted, on about how many clients each, and what does the spread tell the committee?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One model, scored five times on 4,942 clients each; the spread is that one model's 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Five models on about 19,770 clients each; one split could have read 0.77 or 0.80.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Five models on about 4,942 clients each; the spread says the model needs more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Five models on all 24,712 clients each; the spread is noise and says nothing of a split.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winner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gradient boosting should go into the memo, since it scores the highest validation AUC of the three families in Exhibit 4B.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0.806 is above 0.799 and 0.795 on the same validation rows, and the memo reports the best found.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boosting fits each round to the errors of the rounds before, so it generalises best of the three.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0.011 is inside the 0.03 one split moves by, so it is a tie, and the explainable logistic ships.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AUC cannot compare different model families, so the committee needs each accuracy at 0.5.</w:t>
            </w:r>
          </w:p>
        </w:tc>
      </w:tr>
    </w:tbl>
    <w:p>
      <w:pPr>
        <w:keepNext/>
        <w:pBdr>
          <w:bottom w:val="single" w:color="B37A33" w:sz="6" w:space="4"/>
        </w:pBdr>
        <w:spacing w:after="120" w:before="280"/>
      </w:pPr>
      <w:r>
        <w:rPr>
          <w:rFonts w:ascii="Georgia" w:cs="Georgia" w:eastAsia="Georgia" w:hAnsi="Georgia"/>
          <w:color w:val="B37A33"/>
          <w:sz w:val="30"/>
          <w:szCs w:val="30"/>
        </w:rPr>
        <w:t xml:space="preserve">Part 5. Would the committee sign, and what moves to lending?</w:t>
      </w:r>
    </w:p>
    <w:p>
      <w:pPr>
        <w:keepNext/>
        <w:spacing w:after="160" w:line="276"/>
      </w:pPr>
      <w:r>
        <w:rPr>
          <w:rFonts w:ascii="Arial" w:cs="Arial" w:eastAsia="Arial" w:hAnsi="Arial"/>
          <w:color w:val="6B675E"/>
          <w:sz w:val="19"/>
          <w:szCs w:val="19"/>
        </w:rPr>
        <w:t xml:space="preserve">4 items, Q23 to Q26, about 10 minutes. What it shows: whether you can say what a memo must prove, how a model is caught going stale and why the same model draws an opposite line in lending.</w:t>
      </w:r>
    </w:p>
    <w:p>
      <w:pPr>
        <w:keepNext/>
        <w:spacing w:after="140" w:line="276"/>
      </w:pPr>
      <w:r>
        <w:rPr>
          <w:rFonts w:ascii="Arial" w:cs="Arial" w:eastAsia="Arial" w:hAnsi="Arial"/>
          <w:color w:val="1C1B16"/>
          <w:sz w:val="21"/>
          <w:szCs w:val="21"/>
        </w:rPr>
        <w:t xml:space="preserve">On Friday the room wrote the memo for Meera Raghavan's committee: Anand Iyer, the marketing lead and Rohan Desai of Kalpa Financial Services, who is watching for his own business. The bank's file showed what time does to a model. Trained on the earliest 70 percent of the calls and scored on the latest 30 percent, the logistic model on the honest columns met a world where far more clients said yes than it had learned (Exhibit 5A). Exhibit 5B, with the first item, sets two public cases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four lines of the committee memo, and the bank's file split by date instead of at random: the logistic model on the honest columns.</w:t>
            </w:r>
          </w:p>
          <w:p>
            <w:pPr>
              <w:keepNext/>
              <w:spacing w:after="80" w:before="80"/>
              <w:jc w:val="center"/>
            </w:pPr>
            <w:r>
              <w:drawing>
                <wp:inline distT="0" distB="0" distL="0" distR="0">
                  <wp:extent cx="5905500" cy="876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8763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5639"/>
              <w:gridCol w:w="4160"/>
            </w:tblGrid>
            <w:tr>
              <w:trPr>
                <w:cantSplit/>
                <w:tblHeader/>
              </w:trPr>
              <w:tc>
                <w:tcPr>
                  <w:tcW w:type="dxa" w:w="56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41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56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Earliest 70 percent of calls, 28,831 clients</w:t>
                  </w:r>
                </w:p>
              </w:tc>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 said yes</w:t>
                  </w:r>
                </w:p>
              </w:tc>
            </w:tr>
            <w:tr>
              <w:trPr>
                <w:cantSplit/>
              </w:trPr>
              <w:tc>
                <w:tcPr>
                  <w:tcW w:type="dxa" w:w="56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Latest 30 percent of calls, 12,357 clients</w:t>
                  </w:r>
                </w:p>
              </w:tc>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24.6 percent said yes</w:t>
                  </w:r>
                </w:p>
              </w:tc>
            </w:tr>
            <w:tr>
              <w:trPr>
                <w:cantSplit/>
              </w:trPr>
              <w:tc>
                <w:tcPr>
                  <w:tcW w:type="dxa" w:w="56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Mean predicted chance of a yes on the latest 30 percent</w:t>
                  </w:r>
                </w:p>
              </w:tc>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0.152</w:t>
                  </w:r>
                </w:p>
              </w:tc>
            </w:tr>
            <w:tr>
              <w:trPr>
                <w:cantSplit/>
              </w:trPr>
              <w:tc>
                <w:tcPr>
                  <w:tcW w:type="dxa" w:w="56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AUC on the latest 30 percent</w:t>
                  </w:r>
                </w:p>
              </w:tc>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0.657, against 0.795 on the random split</w:t>
                  </w:r>
                </w:p>
              </w:tc>
            </w:tr>
          </w:tbl>
          <w:p>
            <w:pPr>
              <w:keepNext/>
              <w:spacing w:after="140" w:before="0"/>
            </w:pPr>
          </w:p>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Two public cases. Instacart: Fortune, 9 June 2020, and Instacart's engineering blog, 10 July 2023. Booking.com: Bernardi, Mavridis and Estevez, KDD 2019, section 3.</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2679"/>
              <w:gridCol w:w="7120"/>
            </w:tblGrid>
            <w:tr>
              <w:trPr>
                <w:cantSplit/>
                <w:tblHeader/>
              </w:trPr>
              <w:tc>
                <w:tcPr>
                  <w:tcW w:type="dxa" w:w="26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Case</w:t>
                  </w:r>
                </w:p>
              </w:tc>
              <w:tc>
                <w:tcPr>
                  <w:tcW w:type="dxa" w:w="71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source reports</w:t>
                  </w:r>
                </w:p>
              </w:tc>
            </w:tr>
            <w:tr>
              <w:trPr>
                <w:cantSplit/>
              </w:trPr>
              <w:tc>
                <w:tcPr>
                  <w:tcW w:type="dxa" w:w="26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Instacart's item-availability model, March 2020</w:t>
                  </w:r>
                </w:p>
              </w:tc>
              <w:tc>
                <w:tcPr>
                  <w:tcW w:type="dxa" w:w="71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accuracy of the metric used to judge how many items are found fell from 93 percent to 61 percent, which told the engineers to retrain; by June it read about 85 percent</w:t>
                  </w:r>
                </w:p>
              </w:tc>
            </w:tr>
            <w:tr>
              <w:trPr>
                <w:cantSplit/>
              </w:trPr>
              <w:tc>
                <w:tcPr>
                  <w:tcW w:type="dxa" w:w="26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 looking back</w:t>
                  </w:r>
                </w:p>
              </w:tc>
              <w:tc>
                <w:tcPr>
                  <w:tcW w:type="dxa" w:w="71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Models respond slowly to a shock because they need enough new observations; thresholds on top of the model were changed without training new models</w:t>
                  </w:r>
                </w:p>
              </w:tc>
            </w:tr>
            <w:tr>
              <w:trPr>
                <w:cantSplit/>
              </w:trPr>
              <w:tc>
                <w:tcPr>
                  <w:tcW w:type="dxa" w:w="26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Booking.com, 23 comparisons of a new model against a proven one</w:t>
                  </w:r>
                </w:p>
              </w:tc>
              <w:tc>
                <w:tcPr>
                  <w:tcW w:type="dxa" w:w="71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Offline gain (ROC AUC or mean reciprocal rank) against business gain in a randomised trial: Pearson correlation -0.1, 90 percent interval -0.45 to 0.27</w:t>
                  </w:r>
                </w:p>
              </w:tc>
            </w:tr>
          </w:tbl>
          <w:p>
            <w:pPr>
              <w:keepNext/>
              <w:spacing w:after="140" w:before="0"/>
            </w:pPr>
          </w:p>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alarm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monitoring rule would have caught the bank's model going stale earliest?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month, set the called clients' yes rate against their mean score, and alert past a stated gap.</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Retrain the model every night on the newest calls, so that the question of staleness never comes up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the model's training accuracy month by month, and read a fall there as the sign of drift.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Wait for the marketing head to say the campaign feels weaker than it did when the model launched.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Fill the caveat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lines belong in the memo's caveat?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validation AUC of 0.795, against 0.761 for the customer table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segment of clients the model ranks worst, with how many clients it holds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gap between predicted and actual yes rates that would trigger a retrain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number of calls the campaign budget pays for in the next month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evidence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Iyer asks what evidence would make him sign. Across 23 comparisons, Booking.com found offline gains and business gains almost uncorrelated (Exhibit 5B). What does the memo propose?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random trial: half the next calls by the model's list, half by today's rule, scored on deposits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bigger validation slice, so that the AUC of 0.795 can be quoted to three decimal places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switch to gradient boosting, whose 0.806 gives the committee the strongest offline case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sealed test score on its own, since a slice opened once is all the evidence a committee needs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line to lending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Rohan Desai's lending book: approving a borrower who defaults costs Rs 60,000, and rejecting a good borrower costs Rs 3,000 of lost interest. Where does Rohan's approval line go?</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Approve on the nudge's own cost line, read as a chance of repaying, since the method is the same.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Approve at the neutral 0.5, since a loan is a yes or no decision with no budget in the way.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Approve while the chance of default is under 60,000 in 63,000, about 0.95, since defaults cost more.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Approve only while the chance of default is under 3,000 in 63,000, about 0.05: repay above 0.95.</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German Credit, the take-home's dataset (OpenML credit-g), documents its own cost matrix: classing a bad borrower as good costs 5, and classing a good borrower as bad costs 1. Above what chance of repaying should that lender approve, and how does it sit beside Rohan Desai's line?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Gradient boosting beats the logistic model by 0.011 AUC on validation. Name the gap at which you would ship boosting instead, and say how you would size it in rupees at the budget of 1,000 calls.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interviewer asks: "Walk me through a model you built." Write the 30-second version with three numbers from this week's run and one choice you would make differently.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5 Recap Paper | Cohort 2 | Week 5.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26</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Should the bank build a model, and what must it beat?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number tells the truth, and where does the line go?</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What was the model allowed to know?</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Is the model learning, or memorising?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Would the committee sign, and what moves to lending?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PAGE</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NUMPAGES</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354228f3a9cf8c30046b810f0e18daaef6310fe.png"/><Relationship Id="rId10" Type="http://schemas.openxmlformats.org/officeDocument/2006/relationships/image" Target="media/36605c544521c1fde9b9f9bbf144c5d2243be1b7.png"/><Relationship Id="rId11" Type="http://schemas.openxmlformats.org/officeDocument/2006/relationships/image" Target="media/c174f7f0387a6738734550280921bee04de4e6b2.png"/><Relationship Id="rId12" Type="http://schemas.openxmlformats.org/officeDocument/2006/relationships/image" Target="media/cd4087173efe0b8f3d1f1af5c32459ac18c57ce3.png"/><Relationship Id="rId13" Type="http://schemas.openxmlformats.org/officeDocument/2006/relationships/image" Target="media/d709138caa6a20ffc81410b3ace2dca3a436956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dc:title>
  <dc:creator>C2 content factory</dc:creator>
  <cp:lastModifiedBy>Un-named</cp:lastModifiedBy>
  <cp:revision>1</cp:revision>
  <dcterms:created xsi:type="dcterms:W3CDTF">2026-10-28T10:39:25.284Z</dcterms:created>
  <dcterms:modified xsi:type="dcterms:W3CDTF">2026-10-28T10:39:25.284Z</dcterms:modified>
</cp:coreProperties>
</file>

<file path=docProps/custom.xml><?xml version="1.0" encoding="utf-8"?>
<Properties xmlns="http://schemas.openxmlformats.org/officeDocument/2006/custom-properties" xmlns:vt="http://schemas.openxmlformats.org/officeDocument/2006/docPropsVTypes"/>
</file>