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ПРОГРАММА СПЕКТАКЛЯ ПОЭЗИИ </w:t>
      </w:r>
      <w:r>
        <w:rPr>
          <w:lang w:val="ru-RU" w:eastAsia="zh-CN" w:bidi="hi-IN"/>
        </w:rPr>
        <w:t>« СЕРЕБРЯНЫЙ ВЕК»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138"/>
        <w:gridCol w:w="3288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Стихотворение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Участвуют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Реквизит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1. К. Бальмонт. «Золотая рыбка»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кроме Кирилла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Тарелки и стаканы;</w:t>
            </w:r>
          </w:p>
          <w:p>
            <w:pPr>
              <w:pStyle w:val="Contenudetableau"/>
              <w:jc w:val="left"/>
              <w:rPr>
                <w:lang w:val="ru-RU"/>
              </w:rPr>
            </w:pPr>
            <w:r>
              <w:rPr>
                <w:lang w:val="ru-RU"/>
              </w:rPr>
              <w:t>Несколько небольших тряпочек</w:t>
            </w:r>
          </w:p>
          <w:p>
            <w:pPr>
              <w:pStyle w:val="Contenudetableau"/>
              <w:jc w:val="left"/>
              <w:rPr/>
            </w:pPr>
            <w:r>
              <w:rPr/>
              <w:t>Половые щётки или веники (4 — 5 шт);</w:t>
            </w:r>
          </w:p>
          <w:p>
            <w:pPr>
              <w:pStyle w:val="Contenudetableau"/>
              <w:jc w:val="left"/>
              <w:rPr/>
            </w:pPr>
            <w:r>
              <w:rPr/>
              <w:t>Обрывки мишуры, цветной бумаги, мятые салфетки, конфетти на полу — впечатление закончившегося большого праздника;</w:t>
            </w:r>
          </w:p>
          <w:p>
            <w:pPr>
              <w:pStyle w:val="Contenudetableau"/>
              <w:jc w:val="left"/>
              <w:rPr/>
            </w:pPr>
            <w:r>
              <w:rPr/>
              <w:t>Бальная туфелька (условно-хрустальная)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Те же + Кирилл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2. М. Цветаева. «Тоска по родине...»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Даша, Серёжа, 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нтон</w:t>
            </w:r>
            <w:r>
              <w:rPr/>
              <w:t>, Лука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Газета (</w:t>
            </w:r>
            <w:r>
              <w:rPr>
                <w:lang w:val="fr-FR"/>
              </w:rPr>
              <w:t>Le Figaro?);</w:t>
            </w:r>
          </w:p>
          <w:p>
            <w:pPr>
              <w:pStyle w:val="Contenudetableau"/>
              <w:jc w:val="left"/>
              <w:rPr>
                <w:lang w:val="ru-RU"/>
              </w:rPr>
            </w:pPr>
            <w:r>
              <w:rPr>
                <w:lang w:val="ru-RU"/>
              </w:rPr>
              <w:t>Пульт от ТВ.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3. С. Есенин. «Осень»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Ника</w:t>
            </w:r>
            <w:r>
              <w:rPr/>
              <w:t>, Даша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«Осенний убор»: венок из жёлтых листьев, гроздья рябины и т. п.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Те же + Кирилл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4. С. Есенин. «Берёза»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Антон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Зимняя одежда: куртка, шапка, ботинки, шарф, варежки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5. Саша Чёрный. «Городская сказка»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Серёжа, Кася, </w:t>
            </w:r>
            <w:r>
              <w:rPr/>
              <w:t>Вова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Бумага, ручка (желательно под старину), графин с водой, денежные купюры.</w:t>
            </w:r>
          </w:p>
        </w:tc>
      </w:tr>
      <w:tr>
        <w:trPr>
          <w:trHeight w:val="455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6. Саша Чёрный. «Любовь»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Алёна, Герман, Лука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Яблоко (настоящее), </w:t>
            </w:r>
            <w:r>
              <w:rPr/>
              <w:t>зонт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Те же + Кирилл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7. О. Мандельштам. «Я не слыхал рассказов Оссиана...»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Герман, </w:t>
            </w:r>
            <w:r>
              <w:rPr/>
              <w:t>Серёжа</w:t>
            </w:r>
            <w:r>
              <w:rPr/>
              <w:t xml:space="preserve">, </w:t>
            </w:r>
            <w:r>
              <w:rPr/>
              <w:t>Антон,</w:t>
            </w:r>
            <w:r>
              <w:rPr/>
              <w:t xml:space="preserve"> Лука, Алёна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Книга; </w:t>
            </w:r>
            <w:r>
              <w:rPr/>
              <w:t>б</w:t>
            </w:r>
            <w:r>
              <w:rPr/>
              <w:t>утафория а-ля Средние века: рыцарские мечи, шлемы, доспехи, корона для принцессы и т. п.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8. Н. Агнивцев. «Две сестры»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Серёжа, </w:t>
            </w:r>
            <w:r>
              <w:rPr/>
              <w:t>Вова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bookmarkStart w:id="0" w:name="__DdeLink__219_3208909861"/>
            <w:r>
              <w:rPr/>
              <w:t xml:space="preserve">Бумага, ручка, графин с водой, денежные купюры, </w:t>
            </w:r>
            <w:r>
              <w:rPr/>
              <w:t>бутылка с вином</w:t>
            </w:r>
            <w:r>
              <w:rPr/>
              <w:t>.</w:t>
            </w:r>
            <w:bookmarkEnd w:id="0"/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9. К. Бальмонт. «Завет бытия»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Лука, </w:t>
            </w:r>
            <w:r>
              <w:rPr/>
              <w:t>Антон</w:t>
            </w:r>
            <w:r>
              <w:rPr/>
              <w:t xml:space="preserve">, Алёна, </w:t>
            </w:r>
            <w:r>
              <w:rPr/>
              <w:t>Ника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Воздушный шарик, к</w:t>
            </w:r>
            <w:r>
              <w:rPr/>
              <w:t>усок ткани голубого цвета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10. М. Цветаева. «Декабрь и январь»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Кася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11. Н. Гумилёв. «Жираф»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Вова</w:t>
            </w:r>
            <w:r>
              <w:rPr/>
              <w:t>, Кася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Те же + Кирилл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12. М. Цветаева. «Вы столь забывчивы, сколь незабвенны...»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Ника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13. О. Мандельштам. «Невыразимая печаль...»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Серёжа, </w:t>
            </w:r>
            <w:r>
              <w:rPr/>
              <w:t>Вова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 xml:space="preserve">Бумага, ручка, денежные купюры, </w:t>
            </w:r>
            <w:r>
              <w:rPr/>
              <w:t>бутылка с вином</w:t>
            </w:r>
            <w:r>
              <w:rPr/>
              <w:t>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Вова,</w:t>
            </w:r>
            <w:r>
              <w:rPr/>
              <w:t xml:space="preserve"> Кирилл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14. Г. Иванов. «Россия счастие, Россия свет…»</w:t>
            </w:r>
          </w:p>
        </w:tc>
        <w:tc>
          <w:tcPr>
            <w:tcW w:w="31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Все, кроме Антона и Луки</w:t>
            </w:r>
          </w:p>
        </w:tc>
        <w:tc>
          <w:tcPr>
            <w:tcW w:w="328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Балахоны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>. О. Мандельштам. «На бледно-голубой эмали...»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Лука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Тёплая одежда: куртка, шапка, ботинки, шарф...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. С. Есенин. «До свиданья, друг мой, до свиданья…»</w:t>
            </w:r>
          </w:p>
          <w:p>
            <w:pPr>
              <w:pStyle w:val="Contenudetableau"/>
              <w:jc w:val="left"/>
              <w:rPr/>
            </w:pPr>
            <w:r>
              <w:rPr/>
              <w:t>Г. Иванов. «Страсть? А если нет и страсти…»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Герман, Алёна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Переход: видеопроекция фотографий поэтов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1</w:t>
            </w:r>
            <w:r>
              <w:rPr/>
              <w:t>7</w:t>
            </w:r>
            <w:r>
              <w:rPr/>
              <w:t>. В. Маяковский. «Послушайте!»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  <w:t>Кирилл, Лука</w:t>
            </w:r>
          </w:p>
        </w:tc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ru-RU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LibreOffice/6.0.7.3$Linux_X86_64 LibreOffice_project/00m0$Build-3</Application>
  <Pages>2</Pages>
  <Words>298</Words>
  <Characters>1745</Characters>
  <CharactersWithSpaces>1978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2017-05-25T19:20:53Z</dcterms:created>
  <dc:creator/>
  <dc:description/>
  <dc:language>ru-RU</dc:language>
  <cp:lastModifiedBy/>
  <dcterms:modified xsi:type="dcterms:W3CDTF">2019-06-28T15:59:01Z</dcterms:modified>
  <cp:revision>8</cp:revision>
  <dc:subject/>
  <dc:title/>
</cp:coreProperties>
</file>