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B8C5F" w14:textId="02C64D8A" w:rsidR="00CC7822" w:rsidRDefault="00ED5EB0" w:rsidP="00ED5EB0">
      <w:pPr>
        <w:pStyle w:val="Heading1"/>
      </w:pPr>
      <w:r>
        <w:t>Initiating On-site Transfer</w:t>
      </w:r>
    </w:p>
    <w:p w14:paraId="719AAB54" w14:textId="1FD43D4D" w:rsidR="00ED5EB0" w:rsidRDefault="00ED5EB0">
      <w:r w:rsidRPr="00ED5EB0">
        <w:t xml:space="preserve">The </w:t>
      </w:r>
      <w:r w:rsidRPr="00ED5EB0">
        <w:rPr>
          <w:b/>
          <w:bCs/>
        </w:rPr>
        <w:t>On-site Transfer</w:t>
      </w:r>
      <w:r w:rsidRPr="00ED5EB0">
        <w:t xml:space="preserve"> guides the leasing team in managing a resident's move from an occupied unit to a vacant one. It involves confirming the resident’s transfer request, selecting the new unit, setting move-in and move-out dates, and processing any associated charges. The process ensures all details are accurately recorded, including payments and lease terms, to provide a smooth transition for the resident while maintaining clear documentation for the team.</w:t>
      </w:r>
    </w:p>
    <w:p w14:paraId="1D24BA5A" w14:textId="47AB64A6" w:rsidR="007559E0" w:rsidRDefault="007559E0" w:rsidP="007559E0">
      <w:pPr>
        <w:pStyle w:val="Heading2"/>
      </w:pPr>
      <w:r>
        <w:t>Step 1: Confirmation</w:t>
      </w:r>
    </w:p>
    <w:p w14:paraId="67300227" w14:textId="77777777" w:rsidR="007F7C65" w:rsidRDefault="007F7C65">
      <w:r w:rsidRPr="007F7C65">
        <w:t>Obtain confirmation from the resident, including the unit and move-in date. This can be done via email or in person, where payment can also be processed to finalize the transfer request.</w:t>
      </w:r>
    </w:p>
    <w:p w14:paraId="5C8BA719" w14:textId="1D6B68C7" w:rsidR="007559E0" w:rsidRDefault="007559E0" w:rsidP="00B36A5F">
      <w:pPr>
        <w:pStyle w:val="Heading2"/>
      </w:pPr>
      <w:r>
        <w:t>Step 2:</w:t>
      </w:r>
      <w:r w:rsidR="007F7C65">
        <w:t xml:space="preserve"> Initiating the Transfer</w:t>
      </w:r>
    </w:p>
    <w:p w14:paraId="231F727C" w14:textId="4A8D6450" w:rsidR="00A91DC3" w:rsidRDefault="00A91DC3">
      <w:r w:rsidRPr="00A91DC3">
        <w:t>Access the resident’s profile, select “More Actions,” and click “Schedule Transfer” to begin the transfer process.</w:t>
      </w:r>
    </w:p>
    <w:p w14:paraId="6EF4F398" w14:textId="77777777" w:rsidR="00A91DC3" w:rsidRPr="00A91DC3" w:rsidRDefault="00A91DC3" w:rsidP="00B36A5F">
      <w:pPr>
        <w:pStyle w:val="Heading2"/>
      </w:pPr>
      <w:r w:rsidRPr="00A91DC3">
        <w:t>Step 3: Entering Details</w:t>
      </w:r>
    </w:p>
    <w:p w14:paraId="1DDD7E8A" w14:textId="77777777" w:rsidR="00453FB5" w:rsidRPr="00453FB5" w:rsidRDefault="00453FB5" w:rsidP="00453FB5">
      <w:r w:rsidRPr="00453FB5">
        <w:t>In this step, set the move-in date for the new unit and the move-out date for the old unit. Residents are allowed 3 days to transfer, during which they’ll have access to both units. These three days include the move-in date for the new unit and the move-out date for the old unit.</w:t>
      </w:r>
    </w:p>
    <w:p w14:paraId="554C3505" w14:textId="77777777" w:rsidR="00453FB5" w:rsidRPr="00453FB5" w:rsidRDefault="00453FB5" w:rsidP="00453FB5">
      <w:r w:rsidRPr="00453FB5">
        <w:t xml:space="preserve">Next, select the desired lease term based on the </w:t>
      </w:r>
      <w:proofErr w:type="spellStart"/>
      <w:r w:rsidRPr="00453FB5">
        <w:t>resident’s</w:t>
      </w:r>
      <w:proofErr w:type="spellEnd"/>
      <w:r w:rsidRPr="00453FB5">
        <w:t xml:space="preserve"> request to transfer and their reason for transferring. Understanding the reason for the transfer helps to better serve the resident and track trends within the community.</w:t>
      </w:r>
    </w:p>
    <w:p w14:paraId="679AE631" w14:textId="77777777" w:rsidR="00453FB5" w:rsidRDefault="00453FB5" w:rsidP="00453FB5">
      <w:r w:rsidRPr="00453FB5">
        <w:t>Finally, use the “Search for Unit” feature to find and select the desired unit. Apply any necessary filters, and once you find the appropriate unit, select it.</w:t>
      </w:r>
    </w:p>
    <w:p w14:paraId="2E1AC539" w14:textId="2379E114" w:rsidR="00453FB5" w:rsidRDefault="00453FB5" w:rsidP="00453FB5">
      <w:r w:rsidRPr="00A32D65">
        <w:rPr>
          <w:b/>
          <w:bCs/>
        </w:rPr>
        <w:t>Important Note:</w:t>
      </w:r>
      <w:r>
        <w:t xml:space="preserve"> </w:t>
      </w:r>
      <w:r w:rsidR="00A32D65" w:rsidRPr="00A32D65">
        <w:t>The recurring charges for the old unit will stop the day before the move-in date, and the charges for the new unit will begin on the scheduled move-in date. Ensure the lease “Start Date” is the same as the move-in date.</w:t>
      </w:r>
      <w:r w:rsidR="00A32D65">
        <w:t xml:space="preserve"> </w:t>
      </w:r>
      <w:r w:rsidR="00A32D65" w:rsidRPr="00A32D65">
        <w:t xml:space="preserve">If there are any changes to the occupants—whether someone is joining or leaving during this process—use the “Edit Occupants” feature to </w:t>
      </w:r>
      <w:r w:rsidR="00A32D65" w:rsidRPr="00A32D65">
        <w:t>adjust</w:t>
      </w:r>
      <w:r w:rsidR="00A32D65" w:rsidRPr="00A32D65">
        <w:t>. Additionally, certain transfer scenarios are unavailable, such as transferring all responsible applicants to different units.</w:t>
      </w:r>
    </w:p>
    <w:p w14:paraId="5EB414E0" w14:textId="77777777" w:rsidR="00A32D65" w:rsidRPr="00A32D65" w:rsidRDefault="00A32D65" w:rsidP="00A32D65">
      <w:pPr>
        <w:rPr>
          <w:b/>
          <w:bCs/>
        </w:rPr>
      </w:pPr>
      <w:r w:rsidRPr="00A32D65">
        <w:rPr>
          <w:b/>
          <w:bCs/>
        </w:rPr>
        <w:t>Example:</w:t>
      </w:r>
    </w:p>
    <w:p w14:paraId="3D91D02F" w14:textId="77777777" w:rsidR="00A32D65" w:rsidRPr="00A32D65" w:rsidRDefault="00A32D65" w:rsidP="00A32D65">
      <w:r w:rsidRPr="00A32D65">
        <w:lastRenderedPageBreak/>
        <w:t>If a resident moves into the new unit on March 15th, they will need to move out of the old unit by March 17th. This means their 3 days are March 15th, 16th, and 17th. During this period, they will only pay rent on one unit.</w:t>
      </w:r>
    </w:p>
    <w:p w14:paraId="79A4775B" w14:textId="77777777" w:rsidR="00A32D65" w:rsidRPr="00453FB5" w:rsidRDefault="00A32D65" w:rsidP="00453FB5"/>
    <w:p w14:paraId="776F1FC0" w14:textId="77777777" w:rsidR="00A91DC3" w:rsidRPr="00A91DC3" w:rsidRDefault="00A91DC3" w:rsidP="00B36A5F">
      <w:pPr>
        <w:pStyle w:val="Heading2"/>
      </w:pPr>
      <w:r w:rsidRPr="00A91DC3">
        <w:t>Step 4: Selecting the Unit</w:t>
      </w:r>
    </w:p>
    <w:p w14:paraId="7D21FE9C" w14:textId="79416E50" w:rsidR="00A91DC3" w:rsidRPr="00A91DC3" w:rsidRDefault="00A91DC3" w:rsidP="00A91DC3">
      <w:r w:rsidRPr="00A91DC3">
        <w:t>Use the “Search for Unit” option to find and select the desired unit. After selecting, review the unit details and click “Create Transfer.”</w:t>
      </w:r>
    </w:p>
    <w:p w14:paraId="6E270257" w14:textId="77777777" w:rsidR="00FB3654" w:rsidRPr="00FB3654" w:rsidRDefault="00FB3654" w:rsidP="00B36A5F">
      <w:pPr>
        <w:pStyle w:val="Heading2"/>
      </w:pPr>
      <w:r w:rsidRPr="00FB3654">
        <w:t>Step 5: Completing Payment</w:t>
      </w:r>
    </w:p>
    <w:p w14:paraId="6991B9C4" w14:textId="01CF5BF4" w:rsidR="00FB3654" w:rsidRDefault="00FB3654" w:rsidP="00FB3654">
      <w:r w:rsidRPr="00FB3654">
        <w:t>Navigate to the new unit’s ledger and add a holding deposit charge. Process payment if the resident chooses to pay electronically. Once payment is complete, confirm that the deposit is reflected in the ledger.</w:t>
      </w:r>
    </w:p>
    <w:p w14:paraId="59CD58F5" w14:textId="77777777" w:rsidR="00FB3654" w:rsidRPr="00FB3654" w:rsidRDefault="00FB3654" w:rsidP="00B36A5F">
      <w:pPr>
        <w:pStyle w:val="Heading2"/>
      </w:pPr>
      <w:r w:rsidRPr="00FB3654">
        <w:t>Step 6: Finalizing the Transfer</w:t>
      </w:r>
    </w:p>
    <w:p w14:paraId="35DA83E6" w14:textId="10F67017" w:rsidR="00FB3654" w:rsidRPr="00FB3654" w:rsidRDefault="00FB3654" w:rsidP="00FB3654">
      <w:r w:rsidRPr="00FB3654">
        <w:t>After payment, notify the Assistant Property Manager or Bookkeeper and follow any necessary procedures for providing proof of income or additional incentives related to the transfer.</w:t>
      </w:r>
    </w:p>
    <w:p w14:paraId="4955B07C" w14:textId="77777777" w:rsidR="00FB3654" w:rsidRPr="00FB3654" w:rsidRDefault="00FB3654" w:rsidP="00FB3654"/>
    <w:p w14:paraId="0E47D71B" w14:textId="77777777" w:rsidR="003B32DC" w:rsidRDefault="003B32DC"/>
    <w:sectPr w:rsidR="003B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06014"/>
    <w:multiLevelType w:val="multilevel"/>
    <w:tmpl w:val="6B1A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17CE3"/>
    <w:multiLevelType w:val="multilevel"/>
    <w:tmpl w:val="BB52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D4EC2"/>
    <w:multiLevelType w:val="multilevel"/>
    <w:tmpl w:val="69E4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F4515"/>
    <w:multiLevelType w:val="multilevel"/>
    <w:tmpl w:val="DEB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062539">
    <w:abstractNumId w:val="0"/>
  </w:num>
  <w:num w:numId="2" w16cid:durableId="1286424840">
    <w:abstractNumId w:val="1"/>
  </w:num>
  <w:num w:numId="3" w16cid:durableId="669530963">
    <w:abstractNumId w:val="3"/>
  </w:num>
  <w:num w:numId="4" w16cid:durableId="2099012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B0"/>
    <w:rsid w:val="003B32DC"/>
    <w:rsid w:val="00453FB5"/>
    <w:rsid w:val="007559E0"/>
    <w:rsid w:val="007F7C65"/>
    <w:rsid w:val="00A32D65"/>
    <w:rsid w:val="00A91DC3"/>
    <w:rsid w:val="00AA7E96"/>
    <w:rsid w:val="00B36A5F"/>
    <w:rsid w:val="00CC7822"/>
    <w:rsid w:val="00DF157E"/>
    <w:rsid w:val="00ED5EB0"/>
    <w:rsid w:val="00FB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2A53"/>
  <w15:chartTrackingRefBased/>
  <w15:docId w15:val="{0C8D8EC7-86E7-4C73-854C-DB827021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5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Delgado</dc:creator>
  <cp:keywords/>
  <dc:description/>
  <cp:lastModifiedBy>Francisco Delgado</cp:lastModifiedBy>
  <cp:revision>9</cp:revision>
  <dcterms:created xsi:type="dcterms:W3CDTF">2025-01-13T19:00:00Z</dcterms:created>
  <dcterms:modified xsi:type="dcterms:W3CDTF">2025-01-13T19:36:00Z</dcterms:modified>
</cp:coreProperties>
</file>