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43C91F" w14:textId="77777777" w:rsidR="002C0DC2" w:rsidRPr="002C0DC2" w:rsidRDefault="002C0DC2" w:rsidP="002C0DC2">
      <w:pPr>
        <w:shd w:val="clear" w:color="auto" w:fill="FFFFFF"/>
        <w:spacing w:after="360" w:line="360" w:lineRule="atLeast"/>
        <w:outlineLvl w:val="0"/>
        <w:rPr>
          <w:color w:val="1D1D1B"/>
          <w:kern w:val="36"/>
          <w:sz w:val="52"/>
          <w:szCs w:val="52"/>
          <w:rFonts w:ascii="Arial" w:eastAsia="Times New Roman" w:hAnsi="Arial" w:cs="Arial"/>
        </w:rPr>
      </w:pPr>
      <w:r>
        <w:rPr>
          <w:color w:val="1D1D1B"/>
          <w:sz w:val="52"/>
          <w:rFonts w:ascii="Arial" w:hAnsi="Arial"/>
        </w:rPr>
        <w:t xml:space="preserve">Igualdade salarial: o Goberno reafirma o seu compromiso coa igualdade retributiva</w:t>
      </w:r>
    </w:p>
    <w:p w14:paraId="5E2F6CD0" w14:textId="77777777" w:rsidR="002C0DC2" w:rsidRPr="002C0DC2" w:rsidRDefault="002C0DC2" w:rsidP="002C0DC2">
      <w:pPr>
        <w:shd w:val="clear" w:color="auto" w:fill="FFFFFF"/>
        <w:spacing w:after="0" w:line="384" w:lineRule="atLeast"/>
        <w:rPr>
          <w:color w:val="1D1D1B"/>
          <w:sz w:val="27"/>
          <w:szCs w:val="27"/>
          <w:rFonts w:ascii="Arial" w:eastAsia="Times New Roman" w:hAnsi="Arial" w:cs="Arial"/>
        </w:rPr>
      </w:pPr>
      <w:r>
        <w:rPr>
          <w:color w:val="1D1D1B"/>
          <w:sz w:val="27"/>
          <w:rFonts w:ascii="Arial" w:hAnsi="Arial"/>
        </w:rPr>
        <w:t xml:space="preserve">O Consello de Ministros aprobou a declaración institucional con motivo do Día para a Igualdade Salarial, data fixada no 22 de febreiro desde o ano 2010, a proposta dos ministerios de Igualdade, Traballo e Economía Social e Xuventude e Infancia.</w:t>
      </w:r>
    </w:p>
    <w:p w14:paraId="5049010B" w14:textId="1005F91B" w:rsidR="008C5D4A" w:rsidRDefault="00BE781D"/>
    <w:p w14:paraId="52E15BE1" w14:textId="77777777" w:rsidR="002C0DC2" w:rsidRDefault="002C0DC2" w:rsidP="002C0DC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O Goberno expresa a súa firme determinación na loita contra a desigualdade retributiva, consciente de que as diferenzas de remuneración entre mulleres e homes seguen a ser un dos piares fundamentais da desigualdade económica e social.</w:t>
      </w:r>
      <w:r>
        <w:rPr>
          <w:color w:val="1D1D1B"/>
          <w:sz w:val="25"/>
          <w:rFonts w:ascii="Arial" w:hAnsi="Arial"/>
        </w:rPr>
        <w:t xml:space="preserve"> </w:t>
      </w:r>
      <w:r>
        <w:rPr>
          <w:color w:val="1D1D1B"/>
          <w:sz w:val="25"/>
          <w:rFonts w:ascii="Arial" w:hAnsi="Arial"/>
        </w:rPr>
        <w:t xml:space="preserve">Na declaración, comprométese a continuar avanzando na aplicación efectiva da normativa vixente e na adopción ou desenvolvemento das medidas de igualdade, dereitos humanos, xustiza social e participación democrática que sexan necesarias para reverter as causas das fendas de xénero e da desigualdade salarial entre mulleres e homes.</w:t>
      </w:r>
    </w:p>
    <w:p w14:paraId="2A8EB27D" w14:textId="77777777" w:rsidR="002C0DC2" w:rsidRDefault="002C0DC2" w:rsidP="002C0DC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Deste xeito, avánzase un paso máis cara á consecución dos Obxectivos de Desenvolvemento Sostible (ODS) establecidos pola Organización de Nacións Unidas na súa Axenda 2030, especialmente dos obxectivos 5, acadar a igualdade entre os sexos e empoderar a todas as mulleres e nenas, e 8, promover o crecemento económico inclusivo e sostible, o emprego e o traballo decente para todas as persoas.</w:t>
      </w:r>
    </w:p>
    <w:p w14:paraId="3F622087" w14:textId="77777777" w:rsidR="002C0DC2" w:rsidRDefault="002C0DC2" w:rsidP="002C0DC2">
      <w:pPr>
        <w:pStyle w:val="Ttulo2"/>
        <w:spacing w:before="600" w:after="360" w:line="360" w:lineRule="atLeast"/>
        <w:rPr>
          <w:color w:val="1D1D1B"/>
          <w:sz w:val="36"/>
          <w:szCs w:val="36"/>
          <w:rFonts w:ascii="Arial" w:hAnsi="Arial" w:cs="Arial"/>
        </w:rPr>
      </w:pPr>
      <w:r>
        <w:rPr>
          <w:b/>
          <w:color w:val="1D1D1B"/>
          <w:rFonts w:ascii="Arial" w:hAnsi="Arial"/>
        </w:rPr>
        <w:t xml:space="preserve">Que é a igualdade salarial ou a igualdade retributiva?</w:t>
      </w:r>
    </w:p>
    <w:p w14:paraId="3286C0F2" w14:textId="77777777" w:rsidR="002C0DC2" w:rsidRDefault="002C0DC2" w:rsidP="002C0DC2">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A igualdade salarial, tamén coñecida como igualdade retributiva ou equiparación salarial, significa que aquelas persoas que realizan un traballo similar ou igualmente produtivo deben recibir unha remuneración idéntica, independentemente do seu xénero, raza, orientación sexual, nacionalidade, relixión ou outras categorías.</w:t>
      </w:r>
    </w:p>
    <w:p w14:paraId="76A4DEF3" w14:textId="77777777" w:rsidR="002C0DC2" w:rsidRDefault="002C0DC2" w:rsidP="002C0DC2">
      <w:pPr>
        <w:pStyle w:val="Ttulo2"/>
        <w:spacing w:before="600" w:after="360" w:line="360" w:lineRule="atLeast"/>
        <w:rPr>
          <w:color w:val="1D1D1B"/>
          <w:sz w:val="36"/>
          <w:szCs w:val="36"/>
          <w:rFonts w:ascii="Arial" w:hAnsi="Arial" w:cs="Arial"/>
        </w:rPr>
      </w:pPr>
      <w:r>
        <w:rPr>
          <w:b/>
          <w:color w:val="1D1D1B"/>
          <w:rFonts w:ascii="Arial" w:hAnsi="Arial"/>
        </w:rPr>
        <w:t xml:space="preserve">Que é a fenda salarial?</w:t>
      </w:r>
    </w:p>
    <w:p w14:paraId="2E0A04B8"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A Comisión Europea define a fenda salarial de xénero como a diferenza entre os ingresos brutos medios por hora dos homes asalariados perante os das mulleres, en porcentaxe da renda bruta masculina.</w:t>
      </w:r>
    </w:p>
    <w:p w14:paraId="5163C4CF"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Que consecuencias ten a fenda salarial ao longo da vida laboral?</w:t>
      </w:r>
    </w:p>
    <w:p w14:paraId="7B821B5A"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A fenda salarial implica que as mulleres obteñen menos ingresos ao longo das súas vidas, o que tamén se traduce en pensións máis baixas e un maior risco de pobreza nas persoas máis vellas.</w:t>
      </w:r>
      <w:r>
        <w:rPr>
          <w:color w:val="1D1D1B"/>
          <w:sz w:val="25"/>
          <w:rFonts w:ascii="Arial" w:hAnsi="Arial"/>
        </w:rPr>
        <w:t xml:space="preserve"> </w:t>
      </w:r>
      <w:r>
        <w:rPr>
          <w:color w:val="1D1D1B"/>
          <w:sz w:val="25"/>
          <w:rFonts w:ascii="Arial" w:hAnsi="Arial"/>
        </w:rPr>
        <w:t xml:space="preserve">Eliminar a desigualdade salarial permitiría avanzar cara á igualdade real e efectiva na sociedade, tal e como se recolle no artigo 9.2 da Constitución Española.</w:t>
      </w:r>
    </w:p>
    <w:p w14:paraId="496049F3"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Canto se reduciu a fenda salarial en España?</w:t>
      </w:r>
    </w:p>
    <w:p w14:paraId="0E01CBAB"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Segundo os últimos datos da Enquisa de Estrutura Salarial de 2022, na década 2012-2022 a fenda salarial reduciuse en 6,83 puntos, situándose en 17,09%.</w:t>
      </w:r>
      <w:r>
        <w:rPr>
          <w:color w:val="1D1D1B"/>
          <w:sz w:val="25"/>
          <w:rFonts w:ascii="Arial" w:hAnsi="Arial"/>
        </w:rPr>
        <w:t xml:space="preserve"> </w:t>
      </w:r>
      <w:r>
        <w:rPr>
          <w:color w:val="1D1D1B"/>
          <w:sz w:val="25"/>
          <w:rFonts w:ascii="Arial" w:hAnsi="Arial"/>
        </w:rPr>
        <w:t xml:space="preserve">Esta desigualdade segue a ser inaceptable, xa que reflicte a discriminación estrutural que aínda sofren as mulleres no ámbito laboral.</w:t>
      </w:r>
    </w:p>
    <w:p w14:paraId="75EF112C"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Avances cara á igualdade laboral en España</w:t>
      </w:r>
    </w:p>
    <w:p w14:paraId="6F72ABB5"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Nos últimos anos producíronse avances significativos na situación do mercado laboral das mulleres.</w:t>
      </w:r>
    </w:p>
    <w:p w14:paraId="1D324028"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Segundo os datos máis recentes da Enquisa de Poboación Activa, en 2024 o número de mulleres traballadoras aumentou en 207.400 e superou por primeira vez os dez millóns de mulleres.</w:t>
      </w:r>
    </w:p>
    <w:p w14:paraId="2BD40CAF"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Que medidas laborais axudan a combater a fenda salarial entre homes e mulleres?</w:t>
      </w:r>
    </w:p>
    <w:p w14:paraId="00F75A5D"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O </w:t>
      </w:r>
      <w:hyperlink r:id="rId5" w:anchor="smi" w:history="1">
        <w:r>
          <w:rPr>
            <w:rStyle w:val="Hipervnculo"/>
            <w:color w:val="1D1D1B"/>
            <w:sz w:val="25"/>
            <w:rFonts w:ascii="Arial" w:hAnsi="Arial"/>
          </w:rPr>
          <w:t xml:space="preserve">aumento do Salario Mínimo Interprofesional</w:t>
        </w:r>
      </w:hyperlink>
      <w:r>
        <w:rPr>
          <w:color w:val="1D1D1B"/>
          <w:sz w:val="25"/>
          <w:rFonts w:ascii="Arial" w:hAnsi="Arial"/>
        </w:rPr>
        <w:t xml:space="preserve"> (SMI), a </w:t>
      </w:r>
      <w:hyperlink r:id="rId6" w:anchor="reforma" w:history="1">
        <w:r>
          <w:rPr>
            <w:rStyle w:val="Hipervnculo"/>
            <w:color w:val="1D1D1B"/>
            <w:sz w:val="25"/>
            <w:rFonts w:ascii="Arial" w:hAnsi="Arial"/>
          </w:rPr>
          <w:t xml:space="preserve">reforma laboral</w:t>
        </w:r>
      </w:hyperlink>
      <w:r>
        <w:rPr>
          <w:color w:val="1D1D1B"/>
          <w:sz w:val="25"/>
          <w:rFonts w:ascii="Arial" w:hAnsi="Arial"/>
        </w:rPr>
        <w:t xml:space="preserve"> ou a </w:t>
      </w:r>
      <w:hyperlink r:id="rId7" w:anchor="traballo" w:history="1">
        <w:r>
          <w:rPr>
            <w:rStyle w:val="Hipervnculo"/>
            <w:color w:val="1D1D1B"/>
            <w:sz w:val="25"/>
            <w:rFonts w:ascii="Arial" w:hAnsi="Arial"/>
          </w:rPr>
          <w:t xml:space="preserve">redución da xornada laboral</w:t>
        </w:r>
      </w:hyperlink>
      <w:r>
        <w:rPr>
          <w:color w:val="1D1D1B"/>
          <w:sz w:val="25"/>
          <w:rFonts w:ascii="Arial" w:hAnsi="Arial"/>
        </w:rPr>
        <w:t xml:space="preserve"> axudan a combater a fenda salarial de xénero.</w:t>
      </w:r>
    </w:p>
    <w:p w14:paraId="2C524B86"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O Goberno seguirá desenvolvendo e promovendo medidas que permitan avanzar na súa erradicación, como o recente </w:t>
      </w:r>
      <w:hyperlink r:id="rId8" w:tgtFrame="_blank" w:history="1">
        <w:r>
          <w:rPr>
            <w:rStyle w:val="Hipervnculo"/>
            <w:color w:val="1D1D1B"/>
            <w:sz w:val="25"/>
            <w:rFonts w:ascii="Arial" w:hAnsi="Arial"/>
          </w:rPr>
          <w:t xml:space="preserve">Real Decreto polo que se fixa o Salario Mínimo Interprofesional para o ano 2025</w:t>
        </w:r>
      </w:hyperlink>
      <w:r>
        <w:rPr>
          <w:color w:val="1D1D1B"/>
          <w:sz w:val="25"/>
          <w:rFonts w:ascii="Arial" w:hAnsi="Arial"/>
        </w:rPr>
        <w:t xml:space="preserve">, que o eleva até os 1.184 euros por mes, consolidando así un aumento do 61% desde 2018.</w:t>
      </w:r>
    </w:p>
    <w:p w14:paraId="6C280DD3"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 medida beneficia especialmente as mulleres, que están sobrerrepresentadas en empregos con salarios iguais ao SMI e que representaron 65,8% do total de persoas beneficiarias.</w:t>
      </w:r>
    </w:p>
    <w:p w14:paraId="57A73B32"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Ademais, a redución prevista da xornada laboral a 37,5 horas semanais, sen redución salarial, facilitará a conciliación da vida persoal, laboral e familiar, mellorando a calidade de vida de todos os traballadores, en particular das mulleres, que seguen a asumir a maior parte das responsabilidades de coidados no fogar.</w:t>
      </w:r>
    </w:p>
    <w:p w14:paraId="4596BFCF"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Outro avance notable é a redución da temporalidade acadada pola reforma laboral, que afecta maioritariamente as mulleres.</w:t>
      </w:r>
    </w:p>
    <w:p w14:paraId="43494F73"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Ademais, España foi pioneira na regulación da materia co Real Decreto-lei de medidas urxentes para garantir a igualdade de trato e de oportunidades entre mulleres e homes no emprego e a ocupación, ou os reais decretos relativos á igualdade salarial retributiva entre mulleres e homes e aos plans de igualdade.</w:t>
      </w:r>
    </w:p>
    <w:p w14:paraId="6E79D427"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 estas accións hai que sumarlles os avances acadados nas últimas décadas en materia de permisos para o coidado da infancia que tiveron como fitos destacados a equiparación dos permisos por nacemento, introducida polo Real Decreto-lei de medidas urxentes para garantir a igualdade de trato e de oportunidades entre mulleres e homes, ou a aprobación dun novo permiso parental intransferible e coa posibilidade de gozar del de maneira flexible para o coidado dos fillos e fillas ou menores acollidos durante máis dun ano e ata os oito anos de idade.</w:t>
      </w:r>
    </w:p>
    <w:p w14:paraId="52CCD327"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Intelixencia artificial e fenda dixital de xénero en España</w:t>
      </w:r>
    </w:p>
    <w:p w14:paraId="16CD6A18"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O desenvolvemento tecnolóxico presenta unha serie de oportunidades de futuro, pero non está exento de desafíos no ámbito laboral, incluída a dimensión retributiva.</w:t>
      </w:r>
    </w:p>
    <w:p w14:paraId="616BD5E9" w14:textId="77777777" w:rsidR="002C0DC2" w:rsidRDefault="002C0DC2" w:rsidP="002C0DC2">
      <w:pPr>
        <w:pStyle w:val="ms-rteelement-parrafonormal"/>
        <w:numPr>
          <w:ilvl w:val="0"/>
          <w:numId w:val="1"/>
        </w:numPr>
        <w:spacing w:before="0" w:beforeAutospacing="0" w:after="0" w:afterAutospacing="0" w:line="384" w:lineRule="atLeast"/>
        <w:rPr>
          <w:color w:val="1D1D1B"/>
          <w:sz w:val="27"/>
          <w:szCs w:val="27"/>
          <w:rFonts w:ascii="Arial" w:hAnsi="Arial" w:cs="Arial"/>
        </w:rPr>
      </w:pPr>
      <w:r>
        <w:rPr>
          <w:color w:val="1D1D1B"/>
          <w:sz w:val="27"/>
          <w:rFonts w:ascii="Arial" w:hAnsi="Arial"/>
        </w:rPr>
        <w:t xml:space="preserve">Lograr unha maior participación e liderado das mulleres no desenvolvemento relacionado coa IA, o Big Data e o Machine Learning.</w:t>
      </w:r>
    </w:p>
    <w:p w14:paraId="00FA3885" w14:textId="77777777" w:rsidR="002C0DC2" w:rsidRDefault="002C0DC2" w:rsidP="002C0DC2">
      <w:pPr>
        <w:pStyle w:val="ms-rteelement-parrafonormal"/>
        <w:numPr>
          <w:ilvl w:val="0"/>
          <w:numId w:val="1"/>
        </w:numPr>
        <w:spacing w:before="0" w:beforeAutospacing="0" w:after="0" w:afterAutospacing="0" w:line="384" w:lineRule="atLeast"/>
        <w:rPr>
          <w:color w:val="1D1D1B"/>
          <w:sz w:val="27"/>
          <w:szCs w:val="27"/>
          <w:rFonts w:ascii="Arial" w:hAnsi="Arial" w:cs="Arial"/>
        </w:rPr>
      </w:pPr>
      <w:r>
        <w:rPr>
          <w:color w:val="1D1D1B"/>
          <w:sz w:val="27"/>
          <w:rFonts w:ascii="Arial" w:hAnsi="Arial"/>
        </w:rPr>
        <w:t xml:space="preserve">Mitigar os nesgos de xénero e lograr unha maior transparencia nos algoritmos e integrar unha perspectiva de xénero na programación, creación de códigos e algoritmos son desafíos que abordar, non só para evitar que as fendas de xénero se perpetúen ou mesmo se amplíen, senón para reverter as fendas existentes mediante a creación de solucións innovadoras para combater as causas das desigualdades estruturais entre mulleres e homes no ámbito laboral.</w:t>
      </w:r>
    </w:p>
    <w:p w14:paraId="1A56F6DF" w14:textId="77777777" w:rsidR="002C0DC2" w:rsidRDefault="002C0DC2" w:rsidP="002C0DC2">
      <w:pPr>
        <w:pStyle w:val="ms-rteelement-parrafonormal"/>
        <w:numPr>
          <w:ilvl w:val="0"/>
          <w:numId w:val="1"/>
        </w:numPr>
        <w:spacing w:before="0" w:beforeAutospacing="0" w:after="0" w:afterAutospacing="0" w:line="384" w:lineRule="atLeast"/>
        <w:rPr>
          <w:color w:val="1D1D1B"/>
          <w:sz w:val="27"/>
          <w:szCs w:val="27"/>
          <w:rFonts w:ascii="Arial" w:hAnsi="Arial" w:cs="Arial"/>
        </w:rPr>
      </w:pPr>
      <w:r>
        <w:rPr>
          <w:color w:val="1D1D1B"/>
          <w:sz w:val="27"/>
          <w:rFonts w:ascii="Arial" w:hAnsi="Arial"/>
        </w:rPr>
        <w:t xml:space="preserve">Establecer a Estratexia Nacional de Intelixencia Artificial (ENIA), que inclúe a igualdade de xénero como un dos seus obxectivos transversais e aborda expresamente o reto de "Reducir a fenda de xénero do ámbito da IA no emprego e no liderado".</w:t>
      </w:r>
    </w:p>
    <w:p w14:paraId="15499777" w14:textId="77777777" w:rsidR="002C0DC2" w:rsidRDefault="002C0DC2" w:rsidP="002C0DC2">
      <w:pPr>
        <w:pStyle w:val="Ttulo2"/>
        <w:spacing w:before="600" w:after="360" w:line="360" w:lineRule="atLeast"/>
        <w:rPr>
          <w:color w:val="1D1D1B"/>
          <w:sz w:val="36"/>
          <w:szCs w:val="36"/>
          <w:rFonts w:ascii="Arial" w:hAnsi="Arial" w:cs="Arial"/>
        </w:rPr>
      </w:pPr>
      <w:r>
        <w:rPr>
          <w:b/>
          <w:color w:val="1D1D1B"/>
          <w:rFonts w:ascii="Arial" w:hAnsi="Arial"/>
        </w:rPr>
        <w:t xml:space="preserve">Desinformación e fenda salarial</w:t>
      </w:r>
    </w:p>
    <w:p w14:paraId="43447607"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Nos últimos tempos, a desinformación, que ten efectos perversos en todos os ámbitos da nosa sociedade, tamén inflúe sobre a igualdade de xénero.</w:t>
      </w:r>
      <w:r>
        <w:rPr>
          <w:color w:val="1D1D1B"/>
          <w:sz w:val="25"/>
          <w:rFonts w:ascii="Arial" w:hAnsi="Arial"/>
        </w:rPr>
        <w:t xml:space="preserve"> </w:t>
      </w:r>
      <w:r>
        <w:rPr>
          <w:color w:val="1D1D1B"/>
          <w:sz w:val="25"/>
          <w:rFonts w:ascii="Arial" w:hAnsi="Arial"/>
        </w:rPr>
        <w:t xml:space="preserve">As narrativas falsas ou tendenciosas reforzan os estereotipos, xustifican as desigualdades existentes e normalizan as discriminacións inaceptables, promovendo unha comprensión equivocada das causas e consecuencias da desigualdade salarial entre mulleres e homes.</w:t>
      </w:r>
    </w:p>
    <w:p w14:paraId="3470B8CE"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Esta desinformación tende a minimizar ou mesmo negar a existencia da probada fenda de ingresos entre mulleres e homes, atribuíndo estas diferenzas a eleccións individuais ou á diferenza nas horas traballadas.</w:t>
      </w:r>
      <w:r>
        <w:rPr>
          <w:color w:val="1D1D1B"/>
          <w:sz w:val="25"/>
          <w:rFonts w:ascii="Arial" w:hAnsi="Arial"/>
        </w:rPr>
        <w:t xml:space="preserve"> </w:t>
      </w:r>
      <w:r>
        <w:rPr>
          <w:color w:val="1D1D1B"/>
          <w:sz w:val="25"/>
          <w:rFonts w:ascii="Arial" w:hAnsi="Arial"/>
        </w:rPr>
        <w:t xml:space="preserve">A desinformación, ademais de distorsionar a realidade, socava a confianza nos datos oficiais e dificulta os esforzos por lograr a igualdade efectiva no ámbito laboral.</w:t>
      </w:r>
    </w:p>
    <w:p w14:paraId="636E994A"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Combater a desinformación e promover unha análise rigorosa da realidade é crucial para avanzar cara a unha igualdade de oportunidades real e efectiva entre mulleres e homes.</w:t>
      </w:r>
    </w:p>
    <w:p w14:paraId="50323E79" w14:textId="64286F21" w:rsidR="002C0DC2" w:rsidRP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O Goberno reitera o seu firme compromiso de continuar loitando contra as campañas de desinformación, promovendo e incorporando a perspectiva de xénero no desenvolvemento da "Estratexia Nacional de loita contra as campañas de desinformación".</w:t>
      </w:r>
    </w:p>
    <w:sectPr w:rsidR="002C0DC2" w:rsidRPr="002C0D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B6576C"/>
    <w:multiLevelType w:val="multilevel"/>
    <w:tmpl w:val="065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dirty" w:grammar="dirty"/>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675"/>
    <w:rsid w:val="001660E0"/>
    <w:rsid w:val="002767A5"/>
    <w:rsid w:val="002C0DC2"/>
    <w:rsid w:val="007825F8"/>
    <w:rsid w:val="00AD0080"/>
    <w:rsid w:val="00B94675"/>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56D4"/>
  <w15:chartTrackingRefBased/>
  <w15:docId w15:val="{A1FB54A8-2481-4F1D-B08B-168298B2B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gl-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2C0D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2C0D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2C0D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0DC2"/>
    <w:rPr>
      <w:rFonts w:ascii="Times New Roman" w:eastAsia="Times New Roman" w:hAnsi="Times New Roman" w:cs="Times New Roman"/>
      <w:b/>
      <w:bCs/>
      <w:kern w:val="36"/>
      <w:sz w:val="48"/>
      <w:szCs w:val="48"/>
    </w:rPr>
  </w:style>
  <w:style w:type="paragraph" w:customStyle="1" w:styleId="sitedate">
    <w:name w:val="sitedate"/>
    <w:basedOn w:val="Normal"/>
    <w:rsid w:val="002C0DC2"/>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2C0DC2"/>
    <w:rPr>
      <w:color w:val="0000FF"/>
      <w:u w:val="single"/>
    </w:rPr>
  </w:style>
  <w:style w:type="character" w:customStyle="1" w:styleId="date">
    <w:name w:val="date"/>
    <w:basedOn w:val="Fuentedeprrafopredeter"/>
    <w:rsid w:val="002C0DC2"/>
  </w:style>
  <w:style w:type="paragraph" w:styleId="NormalWeb">
    <w:name w:val="Normal (Web)"/>
    <w:basedOn w:val="Normal"/>
    <w:uiPriority w:val="99"/>
    <w:semiHidden/>
    <w:unhideWhenUsed/>
    <w:rsid w:val="002C0D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2C0DC2"/>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2C0DC2"/>
    <w:rPr>
      <w:rFonts w:asciiTheme="majorHAnsi" w:eastAsiaTheme="majorEastAsia" w:hAnsiTheme="majorHAnsi" w:cstheme="majorBidi"/>
      <w:color w:val="1F3763" w:themeColor="accent1" w:themeShade="7F"/>
      <w:sz w:val="24"/>
      <w:szCs w:val="24"/>
    </w:rPr>
  </w:style>
  <w:style w:type="paragraph" w:customStyle="1" w:styleId="ms-rteelement-parrafonormal">
    <w:name w:val="ms-rteelement-parrafo_normal"/>
    <w:basedOn w:val="Normal"/>
    <w:rsid w:val="002C0D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554142">
      <w:bodyDiv w:val="1"/>
      <w:marLeft w:val="0"/>
      <w:marRight w:val="0"/>
      <w:marTop w:val="0"/>
      <w:marBottom w:val="0"/>
      <w:divBdr>
        <w:top w:val="none" w:sz="0" w:space="0" w:color="auto"/>
        <w:left w:val="none" w:sz="0" w:space="0" w:color="auto"/>
        <w:bottom w:val="none" w:sz="0" w:space="0" w:color="auto"/>
        <w:right w:val="none" w:sz="0" w:space="0" w:color="auto"/>
      </w:divBdr>
    </w:div>
    <w:div w:id="57069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hyperlink" Target="https://www.boe.es/buscar/act.php?id=BOE-A-2025-2576" TargetMode="External"/><Relationship Id="rId3" Type="http://schemas.openxmlformats.org/officeDocument/2006/relationships/settings" Target="settings.xml"/><Relationship Id="rId7" Type="http://schemas.openxmlformats.org/officeDocument/2006/relationships/hyperlink" Target="https://www.lamoncloa.gob.es/consejodeministros/referencias/Paginas/2025/20250204-referencia-rueda-de-prensa-ministros.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moncloa.gob.es/consejodeministros/referencias/Paginas/2021/refc20211228.aspx" TargetMode="External"/><Relationship Id="rId5" Type="http://schemas.openxmlformats.org/officeDocument/2006/relationships/hyperlink" Target="https://www.lamoncloa.gob.es/consejodeministros/referencias/Paginas/2025/20250211-referencia-rueda-de-prensa-ministros.asp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1199</Words>
  <Characters>6401</Characters>
  <Application>Microsoft Office Word</Application>
  <DocSecurity>0</DocSecurity>
  <Lines>126</Lines>
  <Paragraphs>33</Paragraphs>
  <ScaleCrop>false</ScaleCrop>
  <Company>Ministerio de la Presidencia</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5</cp:revision>
  <dcterms:created xsi:type="dcterms:W3CDTF">2025-12-04T14:22:00Z</dcterms:created>
  <dcterms:modified xsi:type="dcterms:W3CDTF">2025-12-04T14:22:00Z</dcterms:modified>
</cp:coreProperties>
</file>