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08D9C8" w14:textId="77777777" w:rsidR="006E504B" w:rsidRPr="006E504B" w:rsidRDefault="006E504B" w:rsidP="006E504B">
      <w:pPr>
        <w:shd w:val="clear" w:color="auto" w:fill="FFFFFF"/>
        <w:spacing w:after="360" w:line="360" w:lineRule="atLeast"/>
        <w:outlineLvl w:val="0"/>
        <w:rPr>
          <w:color w:val="1D1D1B"/>
          <w:kern w:val="36"/>
          <w:sz w:val="52"/>
          <w:szCs w:val="52"/>
          <w:rFonts w:ascii="Arial" w:eastAsia="Times New Roman" w:hAnsi="Arial" w:cs="Arial"/>
        </w:rPr>
      </w:pPr>
      <w:r>
        <w:rPr>
          <w:color w:val="1D1D1B"/>
          <w:sz w:val="52"/>
          <w:rFonts w:ascii="Arial" w:hAnsi="Arial"/>
        </w:rPr>
        <w:t xml:space="preserve">O modelo español de transplantes: como funciona e as claves do seu liderado mundial</w:t>
      </w:r>
    </w:p>
    <w:p w14:paraId="0A379FD3" w14:textId="77777777" w:rsidR="006E504B" w:rsidRPr="006E504B" w:rsidRDefault="006E504B" w:rsidP="006E504B">
      <w:pPr>
        <w:shd w:val="clear" w:color="auto" w:fill="FFFFFF"/>
        <w:spacing w:after="0" w:line="384" w:lineRule="atLeast"/>
        <w:rPr>
          <w:color w:val="1D1D1B"/>
          <w:sz w:val="27"/>
          <w:szCs w:val="27"/>
          <w:rFonts w:ascii="Arial" w:eastAsia="Times New Roman" w:hAnsi="Arial" w:cs="Arial"/>
        </w:rPr>
      </w:pPr>
      <w:r>
        <w:rPr>
          <w:color w:val="1D1D1B"/>
          <w:sz w:val="27"/>
          <w:rFonts w:ascii="Arial" w:hAnsi="Arial"/>
        </w:rPr>
        <w:t xml:space="preserve">En 2024, España bateu o récord de transplantes de órganos e mantivo, deste xeito, a súa posición como líder mundial, que ocupa neste campo desde hai máis de 30 anos.</w:t>
      </w:r>
      <w:r>
        <w:rPr>
          <w:color w:val="1D1D1B"/>
          <w:sz w:val="27"/>
          <w:rFonts w:ascii="Arial" w:hAnsi="Arial"/>
        </w:rPr>
        <w:t xml:space="preserve"> </w:t>
      </w:r>
      <w:r>
        <w:rPr>
          <w:color w:val="1D1D1B"/>
          <w:sz w:val="27"/>
          <w:rFonts w:ascii="Arial" w:hAnsi="Arial"/>
        </w:rPr>
        <w:t xml:space="preserve">Recomendado pola Organización Mundial da Saúde, o modelo español basea o seu éxito nunha perspectiva multidisciplinar, que aborda aspectos legais, técnicos e económicos.</w:t>
      </w:r>
    </w:p>
    <w:p w14:paraId="0EAF6BEE" w14:textId="46ED5312" w:rsidR="008C5D4A" w:rsidRDefault="006E504B"/>
    <w:p w14:paraId="36C36625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 transplante de órganos, que salva a vida ou mellora a saúde de decenas de milleiros de pacientes anualmente, atangueu o seu máximo histórico en España durante o ano 2024.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O ano pasado, o chamado "modelo español de transplantes" rexistrou unha </w:t>
      </w:r>
      <w:hyperlink r:id="rId4" w:history="1">
        <w:r>
          <w:rPr>
            <w:rStyle w:val="Hipervnculo"/>
            <w:color w:val="1D1D1B"/>
            <w:sz w:val="25"/>
            <w:rFonts w:ascii="Arial" w:hAnsi="Arial"/>
          </w:rPr>
          <w:t xml:space="preserve">taxa de 53,9 doadores falecidos por millón de habitantes</w:t>
        </w:r>
      </w:hyperlink>
      <w:r>
        <w:rPr>
          <w:color w:val="1D1D1B"/>
          <w:sz w:val="25"/>
          <w:rFonts w:ascii="Arial" w:hAnsi="Arial"/>
        </w:rPr>
        <w:t xml:space="preserve">, moi por riba do resto de países do mundo.</w:t>
      </w:r>
    </w:p>
    <w:p w14:paraId="01327768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Estas cifras fan que España se manteña como líder internacional no ámbito das doazóns e os transplantes, unha posición que mantén desde hai máis de tres décadas.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O modelo español é o conxunto de medidas adoptadas que forxou este liderado.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Esta é unha estratexia amplamente descrita na literatura científica que tamén foi recomendada pola Organización Mundial da Saúde (OMS).</w:t>
      </w:r>
    </w:p>
    <w:p w14:paraId="081B7BB8" w14:textId="77777777" w:rsidR="006E504B" w:rsidRDefault="006E504B" w:rsidP="006E504B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Como funciona o modelo español de transplantes?</w:t>
      </w:r>
    </w:p>
    <w:p w14:paraId="2165F865" w14:textId="77777777" w:rsidR="006E504B" w:rsidRDefault="006E504B" w:rsidP="006E504B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 modelo español de transplantes baséase en dous piares fundamentais: a </w:t>
      </w:r>
      <w:hyperlink r:id="rId5" w:history="1">
        <w:r>
          <w:rPr>
            <w:rStyle w:val="Hipervnculo"/>
            <w:color w:val="1D1D1B"/>
            <w:sz w:val="25"/>
            <w:rFonts w:ascii="Arial" w:hAnsi="Arial"/>
          </w:rPr>
          <w:t xml:space="preserve">Lei de Transplantes</w:t>
        </w:r>
      </w:hyperlink>
      <w:r>
        <w:rPr>
          <w:color w:val="1D1D1B"/>
          <w:sz w:val="25"/>
          <w:rFonts w:ascii="Arial" w:hAnsi="Arial"/>
        </w:rPr>
        <w:t xml:space="preserve"> de 1979, que se foi adaptando progresivamente aos diferentes avances científicos e tecnolóxicos a través de sucesivas normas; e o Sistema Nacional de Saúde, cuxa condición de sistema público e de acceso universal permite a calquera paciente acceder ao transplante sen ningún tipo de discriminación.</w:t>
      </w:r>
    </w:p>
    <w:p w14:paraId="5FF702A9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Neste modelo, a </w:t>
      </w:r>
      <w:hyperlink r:id="rId6" w:history="1">
        <w:r>
          <w:rPr>
            <w:rStyle w:val="Hipervnculo"/>
            <w:color w:val="1D1D1B"/>
            <w:sz w:val="25"/>
            <w:rFonts w:ascii="Arial" w:hAnsi="Arial"/>
          </w:rPr>
          <w:t xml:space="preserve">Organización Nacional de Transplantes (ONT)</w:t>
        </w:r>
      </w:hyperlink>
      <w:r>
        <w:rPr>
          <w:color w:val="1D1D1B"/>
          <w:sz w:val="25"/>
          <w:rFonts w:ascii="Arial" w:hAnsi="Arial"/>
        </w:rPr>
        <w:t xml:space="preserve"> é o organismo autónomo responsable de coordinar a política de transplantes a nivel nacional.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Desempeña unha función harmonizadora entre as administracións sanitarias centrais e as autonómicas, que son o soporte de todo o proceso de doazón e transplante.</w:t>
      </w:r>
    </w:p>
    <w:p w14:paraId="222DE5ED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Ademais da coordinación nacional e autonómica, existe un terceiro nivel de coordinación composto pola rede de hospitais autorizados para a obtención de órganos.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Un dos criterios de autorización para estes centros é que conten cunha unidade de coordinación de transplantes dentro do hospital, a responsable de orquestrar o proceso de doazón e transplante de órganos.</w:t>
      </w:r>
    </w:p>
    <w:p w14:paraId="55DA6CB2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figura do coordinador de transplantes hospitalarios, que exerce o liderado nestas unidades, é un dos elementos clave nos que se basea o modelo español.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É principalmente médico intensivista e traballa co apoio da ONT e das Coordinacións Autónomas de Transplantes.</w:t>
      </w:r>
    </w:p>
    <w:p w14:paraId="3788B9F6" w14:textId="77777777" w:rsidR="006E504B" w:rsidRDefault="006E504B" w:rsidP="006E504B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Doazón: principios e condicións</w:t>
      </w:r>
    </w:p>
    <w:p w14:paraId="1352EF48" w14:textId="77777777" w:rsidR="006E504B" w:rsidRDefault="006E504B" w:rsidP="006E504B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doazón de órganos é un xesto altruísta que, por lei, é libre, voluntario, confidencial, anónimo, gratuíto e sen ánimo de lucro.</w:t>
      </w:r>
    </w:p>
    <w:p w14:paraId="6FB2599F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Calquera persoa pode decidir en vida que, ao morrer, os seus órganos poidan ser utilizados para salvar ou mellorar a vida doutras persoas.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Non obstante, non todo o mundo pode ser doador: para iso, as unidades de coordinación son as que avalían a validez dos órganos para o transplante.</w:t>
      </w:r>
    </w:p>
    <w:p w14:paraId="28251902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doazón de células e tecidos tamén está regulada en España e tamén é voluntaria e altruísta, polo que nin o doador nin ningunha outra persoa, física ou xurídica, poida percibir unha contraprestación económica ou remuneración.</w:t>
      </w:r>
    </w:p>
    <w:p w14:paraId="323D191A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Esta categoría inclúe o transplante de medula ósea, o tecido que se encontra no interior dalgúns ósos onde residen as células nai e que, polo tanto, é esencial para a vida.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En termos xerais, calquera persoa sa de entre 18 e 40 anos pode rexistrarse como doadora de medula ósea, sempre que non padeza ningunha doenza transmisible que poida pór en perigo a súa vida como consecuencia da doazón.</w:t>
      </w:r>
    </w:p>
    <w:p w14:paraId="6CF8B6D6" w14:textId="77777777" w:rsidR="006E504B" w:rsidRDefault="006E504B" w:rsidP="006E504B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Requisitos do proceso de doazón</w:t>
      </w:r>
    </w:p>
    <w:p w14:paraId="1C8B1905" w14:textId="77777777" w:rsidR="006E504B" w:rsidRDefault="006E504B" w:rsidP="006E504B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lexislación española establece que todas as persoas son doadoras, agás cando expresen o contrario, suposto coñecido mundialmente como "consentimento presunto".</w:t>
      </w:r>
    </w:p>
    <w:p w14:paraId="1F4B903D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Non obstante, en España, á hora de aplicala, establécese un procedemento para preservar os desexos do falecido, xa que a súa oposición puido ser formulada de diferentes maneiras (por exemplo, expresando os seus desexos a familiares ou profesionais que os atenderon no centro de saúde).</w:t>
      </w:r>
    </w:p>
    <w:p w14:paraId="30E92936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Na </w:t>
      </w:r>
      <w:hyperlink r:id="rId7" w:history="1">
        <w:r>
          <w:rPr>
            <w:rStyle w:val="Hipervnculo"/>
            <w:color w:val="1D1D1B"/>
            <w:sz w:val="25"/>
            <w:rFonts w:ascii="Arial" w:hAnsi="Arial"/>
          </w:rPr>
          <w:t xml:space="preserve">web da campaña "Es perfecto para outros"</w:t>
        </w:r>
      </w:hyperlink>
      <w:r>
        <w:rPr>
          <w:color w:val="1D1D1B"/>
          <w:sz w:val="25"/>
          <w:rFonts w:ascii="Arial" w:hAnsi="Arial"/>
        </w:rPr>
        <w:t xml:space="preserve"> pódese descargar a tarxeta de doador, un documento simbólico que serve como testemuño escrito do desexo de doar despois do falecemento.</w:t>
      </w:r>
    </w:p>
    <w:p w14:paraId="7BDEC72B" w14:textId="77777777" w:rsidR="006E504B" w:rsidRDefault="006E504B" w:rsidP="006E504B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Que é a doazón de vivo?</w:t>
      </w:r>
    </w:p>
    <w:p w14:paraId="2C8BB28F" w14:textId="77777777" w:rsidR="006E504B" w:rsidRDefault="006E504B" w:rsidP="006E504B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doazón de vivo é a obtención de órganos procedentes de doadores vivos naqueles casos nos que isto sexa posible.</w:t>
      </w:r>
    </w:p>
    <w:p w14:paraId="064DEE32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Este procedemento depende do cumprimento de determinadas condicións e requisitos regulamentarios: entre estes, que o doador sexa maior de idade e goce de boa saúde física e mental.</w:t>
      </w:r>
    </w:p>
    <w:p w14:paraId="76B7AA42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lexislación española inclúe os pasos a seguir por parte de todos os implicados para garantir os dereitos do doador e do receptor e que a doazón se rexa polos principios xerais.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Dado que cada caso ten as súas particularidades, é recomendable consultarlle todas as dúbidas ao equipo médico responsable do paciente.</w:t>
      </w:r>
    </w:p>
    <w:p w14:paraId="7F0BABB8" w14:textId="77777777" w:rsidR="006E504B" w:rsidRDefault="006E504B" w:rsidP="006E504B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España, referente internacional</w:t>
      </w:r>
    </w:p>
    <w:p w14:paraId="7DC7BAE2" w14:textId="77777777" w:rsidR="006E504B" w:rsidRDefault="006E504B" w:rsidP="006E504B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Unión Europea recomendou expresamente en diversos documentos a adopción total ou parcial do modelo español.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No documento do Consello de Europa </w:t>
      </w:r>
      <w:hyperlink r:id="rId8" w:history="1">
        <w:r>
          <w:rPr>
            <w:rStyle w:val="Hipervnculo"/>
            <w:color w:val="1D1D1B"/>
            <w:sz w:val="25"/>
            <w:rFonts w:ascii="Arial" w:hAnsi="Arial"/>
          </w:rPr>
          <w:t xml:space="preserve">"Meeting the Organ Shortage:</w:t>
        </w:r>
      </w:hyperlink>
      <w:hyperlink r:id="rId8" w:history="1">
        <w:r>
          <w:rPr>
            <w:rStyle w:val="Hipervnculo"/>
            <w:color w:val="1D1D1B"/>
            <w:sz w:val="25"/>
            <w:rFonts w:ascii="Arial" w:hAnsi="Arial"/>
          </w:rPr>
          <w:t xml:space="preserve"> Current status and strategies for improvement"</w:t>
        </w:r>
      </w:hyperlink>
      <w:r>
        <w:rPr>
          <w:color w:val="1D1D1B"/>
          <w:sz w:val="25"/>
          <w:rFonts w:ascii="Arial" w:hAnsi="Arial"/>
        </w:rPr>
        <w:t xml:space="preserve"> descríbense os elementos máis importantes do modelo para a súa implementación noutros países, entre os que destacan un sistema sanitario con cobertura universal, financiamento axeitado e un número suficiente de persoal médico e de enfermaría.</w:t>
      </w:r>
    </w:p>
    <w:p w14:paraId="725978D8" w14:textId="23E55BF3" w:rsidR="006E504B" w:rsidRDefault="006E504B" w:rsidP="006E504B">
      <w:pPr>
        <w:pStyle w:val="ms-rteelement-parrafonormal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drawing>
          <wp:inline distT="0" distB="0" distL="0" distR="0" wp14:anchorId="3E3FF5BF" wp14:editId="7C3609C1">
            <wp:extent cx="5356517" cy="8257964"/>
            <wp:effectExtent l="0" t="0" r="0" b="0"/>
            <wp:docPr id="1" name="Imagen 1" descr="España líder mundial en donación y trasplantes de órgan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paña líder mundial en donación y trasplantes de órgano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075" cy="8288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DE356" w14:textId="77777777" w:rsidR="006E504B" w:rsidRDefault="006E504B" w:rsidP="006E504B">
      <w:pPr>
        <w:pStyle w:val="ms-rteelement-parrafonormal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O liderado internacional de España neste campo reflíctese tamén na folla de ruta global que a OMS estableceu para promover os transplantes nos próximos anos: a </w:t>
      </w:r>
      <w:hyperlink r:id="rId10" w:history="1">
        <w:r>
          <w:rPr>
            <w:rStyle w:val="Hipervnculo"/>
            <w:color w:val="1D1D1B"/>
            <w:sz w:val="25"/>
            <w:rFonts w:ascii="Arial" w:hAnsi="Arial"/>
          </w:rPr>
          <w:t xml:space="preserve">resolución "Aumento da dispoñibilidade, acceso ético e supervisión do transplante de células, tecidos e órganos humanos"</w:t>
        </w:r>
      </w:hyperlink>
      <w:r>
        <w:rPr>
          <w:color w:val="1D1D1B"/>
          <w:sz w:val="25"/>
          <w:rFonts w:ascii="Arial" w:hAnsi="Arial"/>
        </w:rPr>
        <w:t xml:space="preserve">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España foi a principal promotora deste documento, cuxas bases se estableceron durante a Presidencia española da UE na denominada </w:t>
      </w:r>
      <w:hyperlink r:id="rId11" w:history="1">
        <w:r>
          <w:rPr>
            <w:rStyle w:val="Hipervnculo"/>
            <w:color w:val="1D1D1B"/>
            <w:sz w:val="25"/>
            <w:rFonts w:ascii="Arial" w:hAnsi="Arial"/>
          </w:rPr>
          <w:t xml:space="preserve">Declaración de Santander</w:t>
        </w:r>
      </w:hyperlink>
      <w:r>
        <w:rPr>
          <w:color w:val="1D1D1B"/>
          <w:sz w:val="25"/>
          <w:rFonts w:ascii="Arial" w:hAnsi="Arial"/>
        </w:rPr>
        <w:t xml:space="preserve">.</w:t>
      </w:r>
    </w:p>
    <w:p w14:paraId="1998C1EB" w14:textId="77777777" w:rsidR="006E504B" w:rsidRDefault="006E504B"/>
    <w:sectPr w:rsidR="006E50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dirty" w:grammar="dirty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695"/>
    <w:rsid w:val="001660E0"/>
    <w:rsid w:val="002767A5"/>
    <w:rsid w:val="006E504B"/>
    <w:rsid w:val="007825F8"/>
    <w:rsid w:val="00AD0080"/>
    <w:rsid w:val="00CB0695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B1F52"/>
  <w15:chartTrackingRefBased/>
  <w15:docId w15:val="{DAA3D07F-8A2B-4562-A374-3E0957427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gl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E50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50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50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sitedate">
    <w:name w:val="sitedate"/>
    <w:basedOn w:val="Normal"/>
    <w:rsid w:val="006E5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6E504B"/>
    <w:rPr>
      <w:color w:val="0000FF"/>
      <w:u w:val="single"/>
    </w:rPr>
  </w:style>
  <w:style w:type="character" w:customStyle="1" w:styleId="date">
    <w:name w:val="date"/>
    <w:basedOn w:val="Fuentedeprrafopredeter"/>
    <w:rsid w:val="006E504B"/>
  </w:style>
  <w:style w:type="paragraph" w:styleId="NormalWeb">
    <w:name w:val="Normal (Web)"/>
    <w:basedOn w:val="Normal"/>
    <w:uiPriority w:val="99"/>
    <w:semiHidden/>
    <w:unhideWhenUsed/>
    <w:rsid w:val="006E5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504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-rteelement-parrafonormal">
    <w:name w:val="ms-rteelement-parrafo_normal"/>
    <w:basedOn w:val="Normal"/>
    <w:rsid w:val="006E5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hyperlink" Target="https://www.edqm.eu/en/d/76197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eresperfectoparaotros.com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nt.es/" TargetMode="External"/><Relationship Id="rId11" Type="http://schemas.openxmlformats.org/officeDocument/2006/relationships/hyperlink" Target="https://www.lamoncloa.gob.es/serviciosdeprensa/notasprensa/sanidad14/Paginas/2023/131223-ont-declaracion-santander.aspx" TargetMode="External"/><Relationship Id="rId5" Type="http://schemas.openxmlformats.org/officeDocument/2006/relationships/hyperlink" Target="https://www.boe.es/buscar/act.php?id=BOE-A-1979-26445" TargetMode="External"/><Relationship Id="rId10" Type="http://schemas.openxmlformats.org/officeDocument/2006/relationships/hyperlink" Target="https://apps.who.int/gb/ebwha/pdf_files/WHA77/A77_R4-sp.pdf" TargetMode="External"/><Relationship Id="rId4" Type="http://schemas.openxmlformats.org/officeDocument/2006/relationships/hyperlink" Target="https://www.lamoncloa.gob.es/serviciosdeprensa/notasprensa/sanidad14/paginas/2025/140825-espana-lider-trasplantes.aspx" TargetMode="Externa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955</Words>
  <Characters>5068</Characters>
  <Application>Microsoft Office Word</Application>
  <DocSecurity>0</DocSecurity>
  <Lines>98</Lines>
  <Paragraphs>25</Paragraphs>
  <ScaleCrop>false</ScaleCrop>
  <Company>Ministerio de la Presidencia</Company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2</cp:revision>
  <dcterms:created xsi:type="dcterms:W3CDTF">2025-12-04T14:23:00Z</dcterms:created>
  <dcterms:modified xsi:type="dcterms:W3CDTF">2025-12-04T14:24:00Z</dcterms:modified>
</cp:coreProperties>
</file>