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48.0" w:type="dxa"/>
        <w:jc w:val="left"/>
        <w:tblInd w:w="0.0" w:type="dxa"/>
        <w:tblLayout w:type="fixed"/>
        <w:tblLook w:val="0400"/>
      </w:tblPr>
      <w:tblGrid>
        <w:gridCol w:w="1882"/>
        <w:gridCol w:w="542"/>
        <w:gridCol w:w="2449"/>
        <w:gridCol w:w="3675"/>
        <w:tblGridChange w:id="0">
          <w:tblGrid>
            <w:gridCol w:w="1882"/>
            <w:gridCol w:w="542"/>
            <w:gridCol w:w="2449"/>
            <w:gridCol w:w="3675"/>
          </w:tblGrid>
        </w:tblGridChange>
      </w:tblGrid>
      <w:tr>
        <w:trPr>
          <w:cantSplit w:val="0"/>
          <w:trHeight w:val="657" w:hRule="atLeast"/>
          <w:tblHeader w:val="0"/>
        </w:trPr>
        <w:tc>
          <w:tcPr>
            <w:gridSpan w:val="4"/>
            <w:shd w:fill="c3dcf7" w:val="clear"/>
            <w:tcMar>
              <w:top w:w="120.0" w:type="dxa"/>
              <w:left w:w="120.0" w:type="dxa"/>
              <w:bottom w:w="120.0" w:type="dxa"/>
              <w:right w:w="120.0" w:type="dxa"/>
            </w:tcMar>
            <w:vAlign w:val="center"/>
          </w:tcPr>
          <w:p w:rsidR="00000000" w:rsidDel="00000000" w:rsidP="00000000" w:rsidRDefault="00000000" w:rsidRPr="00000000" w14:paraId="00000002">
            <w:pPr>
              <w:spacing w:after="120" w:before="120" w:line="240" w:lineRule="auto"/>
              <w:ind w:left="120" w:right="120" w:firstLine="0"/>
              <w:jc w:val="cente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Eventos para realizar el pedido</w:t>
            </w:r>
          </w:p>
        </w:tc>
      </w:tr>
      <w:tr>
        <w:trPr>
          <w:cantSplit w:val="0"/>
          <w:trHeight w:val="303"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06">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Use Case</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07">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Hacer pedido</w:t>
            </w:r>
          </w:p>
        </w:tc>
      </w:tr>
      <w:tr>
        <w:trPr>
          <w:cantSplit w:val="0"/>
          <w:trHeight w:val="320"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0A">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Author</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0B">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Cliente</w:t>
            </w:r>
          </w:p>
        </w:tc>
      </w:tr>
      <w:tr>
        <w:trPr>
          <w:cantSplit w:val="0"/>
          <w:trHeight w:val="303"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0E">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Date</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0F">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22-febrero-2022 17:00</w:t>
            </w:r>
          </w:p>
        </w:tc>
      </w:tr>
      <w:tr>
        <w:trPr>
          <w:cantSplit w:val="0"/>
          <w:trHeight w:val="1550"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12">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Brief Description</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13">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EL usuario selecciona un conjunto de artículos, junto con la cantidad de los mismos, para crear el pedido. Cuando se formaliza se comprueba que el usuario sea cliente, una vez hecha la aprobación se completa el pago.</w:t>
            </w:r>
          </w:p>
        </w:tc>
      </w:tr>
      <w:tr>
        <w:trPr>
          <w:cantSplit w:val="0"/>
          <w:trHeight w:val="926"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16">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Preconditions</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17">
            <w:pPr>
              <w:spacing w:after="0"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Existe un catálogo de productos disponibles para pedir.</w:t>
            </w:r>
          </w:p>
          <w:p w:rsidR="00000000" w:rsidDel="00000000" w:rsidP="00000000" w:rsidRDefault="00000000" w:rsidRPr="00000000" w14:paraId="00000018">
            <w:pPr>
              <w:spacing w:after="0"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El usuario está registrado.</w:t>
            </w:r>
          </w:p>
          <w:p w:rsidR="00000000" w:rsidDel="00000000" w:rsidP="00000000" w:rsidRDefault="00000000" w:rsidRPr="00000000" w14:paraId="00000019">
            <w:pPr>
              <w:spacing w:after="0"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Los datos bancarios son correctos.</w:t>
            </w:r>
          </w:p>
        </w:tc>
      </w:tr>
      <w:tr>
        <w:trPr>
          <w:cantSplit w:val="0"/>
          <w:trHeight w:val="623"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1C">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Post-conditions</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1D">
            <w:pPr>
              <w:spacing w:after="0"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crea un pedido con los datos del usuario que lo realiza y los artículos solicitados.</w:t>
            </w:r>
          </w:p>
        </w:tc>
      </w:tr>
      <w:tr>
        <w:trPr>
          <w:cantSplit w:val="0"/>
          <w:trHeight w:val="455" w:hRule="atLeast"/>
          <w:tblHeader w:val="0"/>
        </w:trPr>
        <w:tc>
          <w:tcPr>
            <w:vMerge w:val="restart"/>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0">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Flow of Events</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1">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2">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Actor Input</w:t>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3">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System Response</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153152"/>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5">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6">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Visualizar catálogo</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7">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9">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2</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A">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B">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Muestra la disponibilidad.</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D">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3</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E">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Selecciona un artículo.</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F">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1">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4</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2">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Selecciona una cantidad.</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3">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5">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5</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6">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7">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Recupera la información del artículo para obtener el precio y modifica el precio total del pedido.</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9">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6</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A">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El proceso se repite hasta completar la lista de artículos.</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B">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D">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7</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E">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acepta el pedido.</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F">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1">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8</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2">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3">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comprueba si el usuario es socio, si no lo es se le muestra un aviso para que se registre en el sitio.</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5">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9</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6">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7">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comprueban los datos bancarios con una entidad externa.</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9">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10</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A">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B">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genera: calcula el total, sumando los gastos de envío.</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D">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11</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E">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F">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realiza el pago a través de la entidad externa.</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51">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12</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52">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53">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almacena la información del pedido con el estado "pendiente".</w:t>
            </w:r>
          </w:p>
        </w:tc>
      </w:tr>
    </w:tbl>
    <w:p w:rsidR="00000000" w:rsidDel="00000000" w:rsidP="00000000" w:rsidRDefault="00000000" w:rsidRPr="00000000" w14:paraId="0000005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48CB"/>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BnxhIor0FU8mNkIdhqBIx6U2g==">AMUW2mU6b4FR2genr/pjC6IhTXfnrXu7N7EnSjSqNRnCJuSWSE3nEl765a00SajpBfjFTKqE2YQkLPO99vpeKW3xIz6/34fwzgLi0+YVb/34Q8mhz8Nie9Q=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2022-02-22T16:35:00Z</dcterms:created>
  <dc:creator>Paky</dc:creator>
</cp:coreProperties>
</file>