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58E" w:rsidRDefault="00125FCF" w:rsidP="00C31DA0">
      <w:pPr>
        <w:pStyle w:val="Title"/>
        <w:rPr>
          <w:lang w:val="en-US"/>
        </w:rPr>
      </w:pPr>
      <w:r>
        <w:rPr>
          <w:lang w:val="en-US"/>
        </w:rPr>
        <w:t>eGFR mini projec</w:t>
      </w:r>
      <w:r w:rsidR="006F78FD">
        <w:rPr>
          <w:lang w:val="en-US"/>
        </w:rPr>
        <w:t>t</w:t>
      </w:r>
    </w:p>
    <w:p w:rsidR="00C31DA0" w:rsidRDefault="00C31DA0" w:rsidP="00C31DA0">
      <w:pPr>
        <w:pStyle w:val="Heading1"/>
        <w:rPr>
          <w:lang w:val="en-US"/>
        </w:rPr>
      </w:pPr>
      <w:r>
        <w:rPr>
          <w:lang w:val="en-US"/>
        </w:rPr>
        <w:t>Aim</w:t>
      </w:r>
    </w:p>
    <w:p w:rsidR="00F6358E" w:rsidRPr="00F6358E" w:rsidRDefault="00AC17AA" w:rsidP="00135FD7">
      <w:pPr>
        <w:rPr>
          <w:vanish/>
        </w:rPr>
      </w:pPr>
      <w:r w:rsidRPr="00AC17AA">
        <w:t>This mini project stems from my master's thesis conducted at Stockholm University</w:t>
      </w:r>
      <w:r>
        <w:rPr>
          <w:rStyle w:val="FootnoteReference"/>
        </w:rPr>
        <w:footnoteReference w:id="1"/>
      </w:r>
      <w:r w:rsidR="0012302D" w:rsidRPr="0012302D">
        <w:rPr>
          <w:vertAlign w:val="superscript"/>
          <w:lang w:val="en-US"/>
        </w:rPr>
        <w:t>,</w:t>
      </w:r>
      <w:r w:rsidR="003722FC">
        <w:rPr>
          <w:rStyle w:val="FootnoteReference"/>
        </w:rPr>
        <w:footnoteReference w:id="2"/>
      </w:r>
      <w:r>
        <w:rPr>
          <w:lang w:val="en-US"/>
        </w:rPr>
        <w:t>.</w:t>
      </w:r>
      <w:r w:rsidR="00F6358E" w:rsidRPr="00F6358E">
        <w:t xml:space="preserve"> </w:t>
      </w:r>
      <w:r>
        <w:rPr>
          <w:lang w:val="en-US"/>
        </w:rPr>
        <w:t>T</w:t>
      </w:r>
      <w:r w:rsidR="00F6358E" w:rsidRPr="00F6358E">
        <w:t xml:space="preserve">he focus is on investigating the eGFR calculation in the MIMIC-IV database while identifying potential issues within the dataset and proposing </w:t>
      </w:r>
      <w:r w:rsidR="00F6358E" w:rsidRPr="003E7E93">
        <w:t>possible solutions to</w:t>
      </w:r>
      <w:r w:rsidR="00F6358E" w:rsidRPr="00F6358E">
        <w:t xml:space="preserve"> mitigate them. The primary aim is to develop a</w:t>
      </w:r>
      <w:r w:rsidR="00BC4F50">
        <w:rPr>
          <w:lang w:val="en-US"/>
        </w:rPr>
        <w:t xml:space="preserve">n </w:t>
      </w:r>
      <w:r w:rsidR="00F6358E" w:rsidRPr="00F6358E">
        <w:t>understanding of the eGFR calculation process and contribute to enhancing the accuracy and reliability of the results. The insights gained from this project can be valuable for future researchers seeking to extract information on kidney health from the dataset</w:t>
      </w:r>
      <w:r w:rsidR="00C31DA0">
        <w:rPr>
          <w:lang w:val="en-US"/>
        </w:rPr>
        <w:t>.</w:t>
      </w:r>
      <w:r w:rsidR="00F16136">
        <w:rPr>
          <w:lang w:val="en-US"/>
        </w:rPr>
        <w:t xml:space="preserve"> </w:t>
      </w:r>
      <w:r w:rsidR="00F6358E" w:rsidRPr="00F6358E">
        <w:rPr>
          <w:vanish/>
        </w:rPr>
        <w:t>Top of Form</w:t>
      </w:r>
    </w:p>
    <w:p w:rsidR="00F6358E" w:rsidRPr="00F6358E" w:rsidRDefault="00F6358E" w:rsidP="00F6358E">
      <w:pPr>
        <w:spacing w:after="160" w:line="259" w:lineRule="auto"/>
        <w:jc w:val="left"/>
        <w:rPr>
          <w:vanish/>
        </w:rPr>
      </w:pPr>
      <w:r w:rsidRPr="00F6358E">
        <w:rPr>
          <w:vanish/>
        </w:rPr>
        <w:t>Bottom of Form</w:t>
      </w:r>
    </w:p>
    <w:p w:rsidR="00F6358E" w:rsidRPr="00F6358E" w:rsidRDefault="00F6358E" w:rsidP="00F6358E">
      <w:pPr>
        <w:spacing w:after="160" w:line="259" w:lineRule="auto"/>
      </w:pPr>
    </w:p>
    <w:p w:rsidR="00125FCF" w:rsidRDefault="00125FCF" w:rsidP="00C31DA0">
      <w:pPr>
        <w:pStyle w:val="Heading1"/>
        <w:rPr>
          <w:lang w:val="en-US"/>
        </w:rPr>
      </w:pPr>
      <w:r>
        <w:rPr>
          <w:lang w:val="en-US"/>
        </w:rPr>
        <w:t>eGFR</w:t>
      </w:r>
      <w:r w:rsidR="0072448D">
        <w:rPr>
          <w:lang w:val="en-US"/>
        </w:rPr>
        <w:t xml:space="preserve"> and the CKD-</w:t>
      </w:r>
      <w:proofErr w:type="gramStart"/>
      <w:r w:rsidR="0072448D">
        <w:rPr>
          <w:lang w:val="en-US"/>
        </w:rPr>
        <w:t>EPI(</w:t>
      </w:r>
      <w:proofErr w:type="gramEnd"/>
      <w:r w:rsidR="0072448D">
        <w:rPr>
          <w:lang w:val="en-US"/>
        </w:rPr>
        <w:t>2021) equation</w:t>
      </w:r>
    </w:p>
    <w:p w:rsidR="00AB0E11" w:rsidRDefault="00111907" w:rsidP="0012302D">
      <w:pPr>
        <w:rPr>
          <w:lang w:val="en-US"/>
        </w:rPr>
      </w:pPr>
      <w:r w:rsidRPr="00111907">
        <w:t>The acronym eGFR refers to estimated Glomerular Filtration Rate, which serves as a cost-effective and accurate method for evaluating kidney function. Depending on the eGFR value and other factors beyond the scope of this project, healthcare professionals may recommend lifestyle modifications and/or prescribe specialized medications tailored to each individual patient.</w:t>
      </w:r>
      <w:r w:rsidR="00AD0CA7">
        <w:rPr>
          <w:lang w:val="en-US"/>
        </w:rPr>
        <w:t>The National Kidney Foundation</w:t>
      </w:r>
      <w:r w:rsidR="00313B45" w:rsidRPr="00313B45">
        <w:rPr>
          <w:rFonts w:ascii="Segoe UI" w:hAnsi="Segoe UI" w:cs="Segoe UI"/>
          <w:color w:val="374151"/>
          <w:shd w:val="clear" w:color="auto" w:fill="F7F7F8"/>
        </w:rPr>
        <w:t xml:space="preserve"> </w:t>
      </w:r>
      <w:r w:rsidR="00313B45" w:rsidRPr="00313B45">
        <w:t xml:space="preserve">offers </w:t>
      </w:r>
      <w:r w:rsidR="00D25A3D">
        <w:rPr>
          <w:lang w:val="en-US"/>
        </w:rPr>
        <w:t>an</w:t>
      </w:r>
      <w:r w:rsidR="00313B45">
        <w:rPr>
          <w:lang w:val="en-US"/>
        </w:rPr>
        <w:t xml:space="preserve"> </w:t>
      </w:r>
      <w:r w:rsidR="00313B45" w:rsidRPr="00313B45">
        <w:t>informative</w:t>
      </w:r>
      <w:r w:rsidR="00086A8B">
        <w:rPr>
          <w:lang w:val="en-US"/>
        </w:rPr>
        <w:t xml:space="preserve"> </w:t>
      </w:r>
      <w:r w:rsidR="00AD0CA7">
        <w:rPr>
          <w:lang w:val="en-US"/>
        </w:rPr>
        <w:t>fact sheet</w:t>
      </w:r>
      <w:r w:rsidR="00086A8B">
        <w:rPr>
          <w:rStyle w:val="FootnoteReference"/>
          <w:lang w:val="en-US"/>
        </w:rPr>
        <w:footnoteReference w:id="3"/>
      </w:r>
      <w:r w:rsidR="00086A8B">
        <w:rPr>
          <w:lang w:val="en-US"/>
        </w:rPr>
        <w:t xml:space="preserve"> and </w:t>
      </w:r>
      <w:r w:rsidR="00D25A3D">
        <w:rPr>
          <w:lang w:val="en-US"/>
        </w:rPr>
        <w:t xml:space="preserve">a </w:t>
      </w:r>
      <w:r w:rsidR="00086A8B">
        <w:rPr>
          <w:lang w:val="en-US"/>
        </w:rPr>
        <w:t>CKD heat map</w:t>
      </w:r>
      <w:r w:rsidR="00086A8B">
        <w:rPr>
          <w:rStyle w:val="FootnoteReference"/>
          <w:lang w:val="en-US"/>
        </w:rPr>
        <w:footnoteReference w:id="4"/>
      </w:r>
      <w:r w:rsidR="00086A8B">
        <w:rPr>
          <w:lang w:val="en-US"/>
        </w:rPr>
        <w:t xml:space="preserve"> documents </w:t>
      </w:r>
      <w:r w:rsidR="00313B45" w:rsidRPr="00313B45">
        <w:t>that provide a comprehensive introduction to eGFR and Chronic Kidney Disease (CKD)</w:t>
      </w:r>
      <w:r w:rsidR="006E5865">
        <w:rPr>
          <w:lang w:val="en-US"/>
        </w:rPr>
        <w:t xml:space="preserve">. </w:t>
      </w:r>
    </w:p>
    <w:p w:rsidR="006F78FD" w:rsidRDefault="00313B45" w:rsidP="0012302D">
      <w:pPr>
        <w:rPr>
          <w:lang w:val="en-US"/>
        </w:rPr>
      </w:pPr>
      <w:r w:rsidRPr="00313B45">
        <w:t xml:space="preserve">For the most up-to-date calculation of eGFR, </w:t>
      </w:r>
      <w:r>
        <w:rPr>
          <w:lang w:val="en-US"/>
        </w:rPr>
        <w:t>researchers have proposed</w:t>
      </w:r>
      <w:r w:rsidR="00B07280">
        <w:rPr>
          <w:lang w:val="en-US"/>
        </w:rPr>
        <w:t xml:space="preserve"> </w:t>
      </w:r>
      <w:r w:rsidRPr="00313B45">
        <w:t>the CKD-EPI(2021)</w:t>
      </w:r>
      <w:r w:rsidR="00EB384E">
        <w:rPr>
          <w:lang w:val="en-US"/>
        </w:rPr>
        <w:t xml:space="preserve"> equation</w:t>
      </w:r>
      <w:r w:rsidRPr="00313B45">
        <w:t xml:space="preserve"> </w:t>
      </w:r>
      <w:r w:rsidR="000F7C63">
        <w:rPr>
          <w:lang w:val="en-US"/>
        </w:rPr>
        <w:fldChar w:fldCharType="begin"/>
      </w:r>
      <w:r w:rsidR="000F7C63">
        <w:rPr>
          <w:lang w:val="en-US"/>
        </w:rPr>
        <w:instrText xml:space="preserve"> ADDIN ZOTERO_ITEM CSL_CITATION {"citationID":"bo6RJJuI","properties":{"formattedCitation":"[1]","plainCitation":"[1]","noteIndex":0},"citationItems":[{"id":404,"uris":["http://zotero.org/users/5983849/items/LTBZ9X6B"],"itemData":{"id":404,"type":"article-journal","container-title":"New England Journal of Medicine","DOI":"10.1056/NEJMoa2102953","ISSN":"0028-4793","issue":"19","note":"publisher: Massachusetts Medical Society\n_eprint: https://doi.org/10.1056/NEJMoa2102953\nPMID: 34554658","page":"1737-1749","source":"Taylor and Francis+NEJM","title":"New Creatinine- and Cystatin C–Based Equations to Estimate GFR without Race","volume":"385","author":[{"family":"Inker","given":"Lesley A."},{"family":"Eneanya","given":"Nwamaka D."},{"family":"Coresh","given":"Josef"},{"family":"Tighiouart","given":"Hocine"},{"family":"Wang","given":"Dan"},{"family":"Sang","given":"Yingying"},{"family":"Crews","given":"Deidra C."},{"family":"Doria","given":"Alessandro"},{"family":"Estrella","given":"Michelle M."},{"family":"Froissart","given":"Marc"},{"family":"Grams","given":"Morgan E."},{"family":"Greene","given":"Tom"},{"family":"Grubb","given":"Anders"},{"family":"Gudnason","given":"Vilmundur"},{"family":"Gutiérrez","given":"Orlando M."},{"family":"Kalil","given":"Roberto"},{"family":"Karger","given":"Amy B."},{"family":"Mauer","given":"Michael"},{"family":"Navis","given":"Gerjan"},{"family":"Nelson","given":"Robert G."},{"family":"Poggio","given":"Emilio D."},{"family":"Rodby","given":"Roger"},{"family":"Rossing","given":"Peter"},{"family":"Rule","given":"Andrew D."},{"family":"Selvin","given":"Elizabeth"},{"family":"Seegmiller","given":"Jesse C."},{"family":"Shlipak","given":"Michael G."},{"family":"Torres","given":"Vicente E."},{"family":"Yang","given":"Wei"},{"family":"Ballew","given":"Shoshana H."},{"family":"Couture","given":"Sara J."},{"family":"Powe","given":"Neil R."},{"family":"Levey","given":"Andrew S."}],"issued":{"date-parts":[["2021",11,4]]}}}],"schema":"https://github.com/citation-style-language/schema/raw/master/csl-citation.json"} </w:instrText>
      </w:r>
      <w:r w:rsidR="000F7C63">
        <w:rPr>
          <w:lang w:val="en-US"/>
        </w:rPr>
        <w:fldChar w:fldCharType="separate"/>
      </w:r>
      <w:r w:rsidR="000F7C63">
        <w:rPr>
          <w:noProof/>
          <w:lang w:val="en-US"/>
        </w:rPr>
        <w:t>[1]</w:t>
      </w:r>
      <w:r w:rsidR="000F7C63">
        <w:rPr>
          <w:lang w:val="en-US"/>
        </w:rPr>
        <w:fldChar w:fldCharType="end"/>
      </w:r>
      <w:r w:rsidR="001B6E89">
        <w:rPr>
          <w:lang w:val="en-US"/>
        </w:rPr>
        <w:t xml:space="preserve">. The National Kidney Foundation </w:t>
      </w:r>
      <w:r w:rsidR="00B07280" w:rsidRPr="00B07280">
        <w:t>also offers a concise information page dedicated to the CKD-EPI equation</w:t>
      </w:r>
      <w:r w:rsidR="0072448D">
        <w:rPr>
          <w:lang w:val="en-US"/>
        </w:rPr>
        <w:t xml:space="preserve"> </w:t>
      </w:r>
      <w:r w:rsidR="0072448D">
        <w:rPr>
          <w:lang w:val="en-US"/>
        </w:rPr>
        <w:fldChar w:fldCharType="begin"/>
      </w:r>
      <w:r w:rsidR="0072448D">
        <w:rPr>
          <w:lang w:val="en-US"/>
        </w:rPr>
        <w:instrText xml:space="preserve"> ADDIN ZOTERO_ITEM CSL_CITATION {"citationID":"NCKzQfs0","properties":{"formattedCitation":"[2]","plainCitation":"[2]","noteIndex":0},"citationItems":[{"id":6,"uris":["http://zotero.org/users/5983849/items/6EIWUIPV"],"itemData":{"id":6,"type":"webpage","container-title":"National Kidney Foundation","language":"en-US","title":"CKD-EPI Creatinine Equation (2021)","URL":"https://www.kidney.org/professionals/kdoqi/gfr_calculator/formula","accessed":{"date-parts":[["2023",5,19]]},"issued":{"date-parts":[["2021",10,1]]}}}],"schema":"https://github.com/citation-style-language/schema/raw/master/csl-citation.json"} </w:instrText>
      </w:r>
      <w:r w:rsidR="0072448D">
        <w:rPr>
          <w:lang w:val="en-US"/>
        </w:rPr>
        <w:fldChar w:fldCharType="separate"/>
      </w:r>
      <w:r w:rsidR="0072448D">
        <w:rPr>
          <w:noProof/>
          <w:lang w:val="en-US"/>
        </w:rPr>
        <w:t>[2]</w:t>
      </w:r>
      <w:r w:rsidR="0072448D">
        <w:rPr>
          <w:lang w:val="en-US"/>
        </w:rPr>
        <w:fldChar w:fldCharType="end"/>
      </w:r>
      <w:r w:rsidR="0072448D">
        <w:rPr>
          <w:lang w:val="en-US"/>
        </w:rPr>
        <w:t xml:space="preserve">. </w:t>
      </w:r>
      <w:r w:rsidR="00FF77D4">
        <w:rPr>
          <w:lang w:val="en-US"/>
        </w:rPr>
        <w:t xml:space="preserve">The eGFR </w:t>
      </w:r>
      <w:proofErr w:type="gramStart"/>
      <w:r w:rsidR="00FF77D4">
        <w:rPr>
          <w:lang w:val="en-US"/>
        </w:rPr>
        <w:t>is expressed</w:t>
      </w:r>
      <w:proofErr w:type="gramEnd"/>
      <w:r w:rsidR="00FF77D4">
        <w:rPr>
          <w:lang w:val="en-US"/>
        </w:rPr>
        <w:t xml:space="preserve"> </w:t>
      </w:r>
      <w:r w:rsidR="00B07280" w:rsidRPr="00B07280">
        <w:t xml:space="preserve">in milliliters per minute per 1.73 square meters </w:t>
      </w:r>
      <w:r w:rsidR="00B07280">
        <w:rPr>
          <w:lang w:val="en-US"/>
        </w:rPr>
        <w:t>(</w:t>
      </w:r>
      <m:oMath>
        <m:r>
          <w:rPr>
            <w:rFonts w:ascii="Cambria Math" w:hAnsi="Cambria Math"/>
            <w:lang w:val="en-US"/>
          </w:rPr>
          <m:t>mL/min/1.73</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B07280">
        <w:rPr>
          <w:lang w:val="en-US"/>
        </w:rPr>
        <w:t>)</w:t>
      </w:r>
      <w:r w:rsidR="00B07280" w:rsidRPr="00B07280">
        <w:t>, and the equation is as follows</w:t>
      </w:r>
      <w:r w:rsidR="00B07280">
        <w:rPr>
          <w:lang w:val="en-US"/>
        </w:rPr>
        <w:t>:</w:t>
      </w:r>
    </w:p>
    <w:p w:rsidR="00AB0E11" w:rsidRPr="00B07280" w:rsidRDefault="00AB0E11" w:rsidP="0012302D">
      <w:pPr>
        <w:rPr>
          <w:lang w:val="en-US"/>
        </w:rPr>
      </w:pPr>
    </w:p>
    <w:p w:rsidR="00A276FF" w:rsidRPr="00FF77D4" w:rsidRDefault="00A276FF" w:rsidP="00135FD7">
      <w:pPr>
        <w:rPr>
          <w:color w:val="201E1E"/>
        </w:rPr>
      </w:pPr>
      <m:oMathPara>
        <m:oMath>
          <m:r>
            <w:rPr>
              <w:rFonts w:ascii="Cambria Math" w:hAnsi="Cambria Math"/>
              <w:lang w:val="en-US"/>
            </w:rPr>
            <m:t>eGFR=142*</m:t>
          </m:r>
          <m:r>
            <m:rPr>
              <m:sty m:val="p"/>
            </m:rPr>
            <w:rPr>
              <w:rFonts w:ascii="Cambria Math" w:hAnsi="Cambria Math"/>
              <w:color w:val="201E1E"/>
            </w:rPr>
            <m:t>min</m:t>
          </m:r>
          <m:sSup>
            <m:sSupPr>
              <m:ctrlPr>
                <w:rPr>
                  <w:rFonts w:ascii="Cambria Math" w:hAnsi="Cambria Math"/>
                  <w:color w:val="201E1E"/>
                  <w:sz w:val="18"/>
                  <w:szCs w:val="18"/>
                  <w:bdr w:val="none" w:sz="0" w:space="0" w:color="auto" w:frame="1"/>
                  <w:vertAlign w:val="superscript"/>
                </w:rPr>
              </m:ctrlPr>
            </m:sSupPr>
            <m:e>
              <m:d>
                <m:dPr>
                  <m:ctrlPr>
                    <w:rPr>
                      <w:rFonts w:ascii="Cambria Math" w:hAnsi="Cambria Math"/>
                      <w:color w:val="201E1E"/>
                    </w:rPr>
                  </m:ctrlPr>
                </m:dPr>
                <m:e>
                  <m:f>
                    <m:fPr>
                      <m:ctrlPr>
                        <w:rPr>
                          <w:rFonts w:ascii="Cambria Math" w:hAnsi="Cambria Math"/>
                          <w:color w:val="201E1E"/>
                        </w:rPr>
                      </m:ctrlPr>
                    </m:fPr>
                    <m:num>
                      <m:r>
                        <m:rPr>
                          <m:sty m:val="p"/>
                        </m:rPr>
                        <w:rPr>
                          <w:rFonts w:ascii="Cambria Math" w:hAnsi="Cambria Math"/>
                          <w:color w:val="201E1E"/>
                        </w:rPr>
                        <m:t>standardized S</m:t>
                      </m:r>
                      <m:r>
                        <m:rPr>
                          <m:sty m:val="p"/>
                        </m:rPr>
                        <w:rPr>
                          <w:rFonts w:ascii="Cambria Math" w:hAnsi="Cambria Math"/>
                          <w:color w:val="201E1E"/>
                          <w:sz w:val="18"/>
                          <w:szCs w:val="18"/>
                          <w:bdr w:val="none" w:sz="0" w:space="0" w:color="auto" w:frame="1"/>
                          <w:vertAlign w:val="subscript"/>
                        </w:rPr>
                        <m:t>cr</m:t>
                      </m:r>
                    </m:num>
                    <m:den>
                      <m:r>
                        <m:rPr>
                          <m:sty m:val="p"/>
                        </m:rPr>
                        <w:rPr>
                          <w:rFonts w:ascii="Cambria Math" w:hAnsi="Cambria Math"/>
                          <w:color w:val="201E1E"/>
                        </w:rPr>
                        <m:t>K</m:t>
                      </m:r>
                    </m:den>
                  </m:f>
                  <m:r>
                    <m:rPr>
                      <m:sty m:val="p"/>
                    </m:rPr>
                    <w:rPr>
                      <w:rFonts w:ascii="Cambria Math" w:hAnsi="Cambria Math"/>
                      <w:color w:val="201E1E"/>
                    </w:rPr>
                    <m:t>, 1</m:t>
                  </m:r>
                </m:e>
              </m:d>
              <m:ctrlPr>
                <w:rPr>
                  <w:rFonts w:ascii="Cambria Math" w:hAnsi="Cambria Math"/>
                  <w:i/>
                  <w:color w:val="201E1E"/>
                  <w:sz w:val="18"/>
                  <w:szCs w:val="18"/>
                  <w:bdr w:val="none" w:sz="0" w:space="0" w:color="auto" w:frame="1"/>
                  <w:vertAlign w:val="superscript"/>
                </w:rPr>
              </m:ctrlPr>
            </m:e>
            <m:sup>
              <m:r>
                <w:rPr>
                  <w:rFonts w:ascii="Cambria Math" w:hAnsi="Cambria Math"/>
                  <w:color w:val="201E1E"/>
                  <w:sz w:val="18"/>
                  <w:szCs w:val="18"/>
                  <w:bdr w:val="none" w:sz="0" w:space="0" w:color="auto" w:frame="1"/>
                  <w:vertAlign w:val="superscript"/>
                </w:rPr>
                <m:t>a</m:t>
              </m:r>
            </m:sup>
          </m:sSup>
          <m:r>
            <w:rPr>
              <w:rFonts w:ascii="Cambria Math" w:hAnsi="Cambria Math"/>
              <w:color w:val="201E1E"/>
              <w:sz w:val="18"/>
              <w:szCs w:val="18"/>
              <w:bdr w:val="none" w:sz="0" w:space="0" w:color="auto" w:frame="1"/>
              <w:vertAlign w:val="superscript"/>
            </w:rPr>
            <m:t>*</m:t>
          </m:r>
          <m:sSup>
            <m:sSupPr>
              <m:ctrlPr>
                <w:rPr>
                  <w:rFonts w:ascii="Cambria Math" w:hAnsi="Helvetica"/>
                  <w:color w:val="201E1E"/>
                </w:rPr>
              </m:ctrlPr>
            </m:sSupPr>
            <m:e>
              <m:func>
                <m:funcPr>
                  <m:ctrlPr>
                    <w:rPr>
                      <w:rFonts w:ascii="Cambria Math" w:hAnsi="Cambria Math"/>
                      <w:color w:val="201E1E"/>
                    </w:rPr>
                  </m:ctrlPr>
                </m:funcPr>
                <m:fName>
                  <m:r>
                    <m:rPr>
                      <m:sty m:val="p"/>
                    </m:rPr>
                    <w:rPr>
                      <w:rFonts w:ascii="Cambria Math" w:hAnsi="Cambria Math"/>
                      <w:color w:val="201E1E"/>
                    </w:rPr>
                    <m:t>max</m:t>
                  </m:r>
                  <m:ctrlPr>
                    <w:rPr>
                      <w:rFonts w:ascii="Cambria Math" w:hAnsi="Cambria Math"/>
                      <w:i/>
                      <w:color w:val="201E1E"/>
                      <w:sz w:val="18"/>
                      <w:szCs w:val="18"/>
                      <w:bdr w:val="none" w:sz="0" w:space="0" w:color="auto" w:frame="1"/>
                      <w:vertAlign w:val="superscript"/>
                    </w:rPr>
                  </m:ctrlPr>
                </m:fName>
                <m:e>
                  <m:d>
                    <m:dPr>
                      <m:ctrlPr>
                        <w:rPr>
                          <w:rFonts w:ascii="Cambria Math" w:hAnsi="Cambria Math"/>
                          <w:color w:val="201E1E"/>
                        </w:rPr>
                      </m:ctrlPr>
                    </m:dPr>
                    <m:e>
                      <m:f>
                        <m:fPr>
                          <m:ctrlPr>
                            <w:rPr>
                              <w:rFonts w:ascii="Cambria Math" w:hAnsi="Cambria Math"/>
                              <w:color w:val="201E1E"/>
                            </w:rPr>
                          </m:ctrlPr>
                        </m:fPr>
                        <m:num>
                          <m:r>
                            <m:rPr>
                              <m:sty m:val="p"/>
                            </m:rPr>
                            <w:rPr>
                              <w:rFonts w:ascii="Cambria Math" w:hAnsi="Cambria Math"/>
                              <w:color w:val="201E1E"/>
                            </w:rPr>
                            <m:t>standardized S</m:t>
                          </m:r>
                          <m:r>
                            <m:rPr>
                              <m:sty m:val="p"/>
                            </m:rPr>
                            <w:rPr>
                              <w:rFonts w:ascii="Cambria Math" w:hAnsi="Cambria Math"/>
                              <w:color w:val="201E1E"/>
                              <w:sz w:val="18"/>
                              <w:szCs w:val="18"/>
                              <w:bdr w:val="none" w:sz="0" w:space="0" w:color="auto" w:frame="1"/>
                              <w:vertAlign w:val="subscript"/>
                            </w:rPr>
                            <m:t>cr</m:t>
                          </m:r>
                        </m:num>
                        <m:den>
                          <m:r>
                            <m:rPr>
                              <m:sty m:val="p"/>
                            </m:rPr>
                            <w:rPr>
                              <w:rFonts w:ascii="Cambria Math" w:hAnsi="Cambria Math"/>
                              <w:color w:val="201E1E"/>
                            </w:rPr>
                            <m:t>K</m:t>
                          </m:r>
                        </m:den>
                      </m:f>
                      <m:r>
                        <m:rPr>
                          <m:sty m:val="p"/>
                        </m:rPr>
                        <w:rPr>
                          <w:rFonts w:ascii="Cambria Math" w:hAnsi="Cambria Math"/>
                          <w:color w:val="201E1E"/>
                        </w:rPr>
                        <m:t>, 1</m:t>
                      </m:r>
                    </m:e>
                  </m:d>
                </m:e>
              </m:func>
              <m:ctrlPr>
                <w:rPr>
                  <w:rFonts w:ascii="Cambria Math" w:hAnsi="Cambria Math"/>
                  <w:i/>
                  <w:color w:val="201E1E"/>
                  <w:sz w:val="18"/>
                  <w:szCs w:val="18"/>
                  <w:bdr w:val="none" w:sz="0" w:space="0" w:color="auto" w:frame="1"/>
                  <w:vertAlign w:val="superscript"/>
                </w:rPr>
              </m:ctrlPr>
            </m:e>
            <m:sup>
              <m:r>
                <m:rPr>
                  <m:sty m:val="p"/>
                </m:rPr>
                <w:rPr>
                  <w:rFonts w:ascii="Cambria Math" w:hAnsi="Helvetica"/>
                  <w:color w:val="201E1E"/>
                </w:rPr>
                <m:t>-</m:t>
              </m:r>
              <m:r>
                <m:rPr>
                  <m:sty m:val="p"/>
                </m:rPr>
                <w:rPr>
                  <w:rFonts w:ascii="Cambria Math" w:hAnsi="Helvetica"/>
                  <w:color w:val="201E1E"/>
                </w:rPr>
                <m:t>1200</m:t>
              </m:r>
            </m:sup>
          </m:sSup>
          <m:r>
            <w:rPr>
              <w:rFonts w:ascii="Cambria Math" w:hAnsi="Helvetica"/>
              <w:color w:val="201E1E"/>
            </w:rPr>
            <m:t>*</m:t>
          </m:r>
          <m:sSup>
            <m:sSupPr>
              <m:ctrlPr>
                <w:rPr>
                  <w:rFonts w:ascii="Cambria Math" w:hAnsi="Helvetica"/>
                  <w:color w:val="201E1E"/>
                </w:rPr>
              </m:ctrlPr>
            </m:sSupPr>
            <m:e>
              <m:r>
                <m:rPr>
                  <m:sty m:val="p"/>
                </m:rPr>
                <w:rPr>
                  <w:rFonts w:ascii="Cambria Math" w:hAnsi="Cambria Math"/>
                  <w:color w:val="201E1E"/>
                </w:rPr>
                <m:t>0.9938</m:t>
              </m:r>
              <m:ctrlPr>
                <w:rPr>
                  <w:rFonts w:ascii="Cambria Math" w:hAnsi="Helvetica"/>
                  <w:i/>
                  <w:color w:val="201E1E"/>
                </w:rPr>
              </m:ctrlPr>
            </m:e>
            <m:sup>
              <m:r>
                <m:rPr>
                  <m:sty m:val="p"/>
                </m:rPr>
                <w:rPr>
                  <w:rFonts w:ascii="Cambria Math" w:hAnsi="Helvetica"/>
                  <w:color w:val="201E1E"/>
                </w:rPr>
                <m:t>age</m:t>
              </m:r>
            </m:sup>
          </m:sSup>
          <m:r>
            <w:rPr>
              <w:rFonts w:ascii="Cambria Math" w:hAnsi="Helvetica"/>
              <w:color w:val="201E1E"/>
            </w:rPr>
            <m:t>*</m:t>
          </m:r>
          <m:r>
            <m:rPr>
              <m:sty m:val="p"/>
            </m:rPr>
            <w:rPr>
              <w:rFonts w:ascii="Cambria Math" w:hAnsi="Cambria Math"/>
              <w:color w:val="201E1E"/>
            </w:rPr>
            <m:t>1.012 [if female]</m:t>
          </m:r>
        </m:oMath>
      </m:oMathPara>
    </w:p>
    <w:p w:rsidR="00AB0E11" w:rsidRDefault="00AB0E11" w:rsidP="00135FD7">
      <w:pPr>
        <w:rPr>
          <w:color w:val="201E1E"/>
          <w:lang w:val="en-US"/>
        </w:rPr>
      </w:pPr>
    </w:p>
    <w:p w:rsidR="00FF77D4" w:rsidRDefault="00FF77D4" w:rsidP="00135FD7">
      <w:pPr>
        <w:rPr>
          <w:color w:val="201E1E"/>
          <w:lang w:val="en-US"/>
        </w:rPr>
      </w:pPr>
      <w:r>
        <w:rPr>
          <w:color w:val="201E1E"/>
          <w:lang w:val="en-US"/>
        </w:rPr>
        <w:lastRenderedPageBreak/>
        <w:t>Where:</w:t>
      </w:r>
    </w:p>
    <w:p w:rsidR="00EE32D0" w:rsidRDefault="00EE32D0" w:rsidP="00EE32D0">
      <w:pPr>
        <w:pStyle w:val="ListParagraph"/>
        <w:numPr>
          <w:ilvl w:val="0"/>
          <w:numId w:val="1"/>
        </w:numPr>
        <w:rPr>
          <w:color w:val="201E1E"/>
          <w:lang w:val="en-US"/>
        </w:rPr>
      </w:pPr>
      <w:r w:rsidRPr="00CD2228">
        <w:rPr>
          <w:b/>
          <w:bCs/>
          <w:color w:val="201E1E"/>
          <w:lang w:val="en-US"/>
        </w:rPr>
        <w:t>S</w:t>
      </w:r>
      <w:r w:rsidRPr="00CD2228">
        <w:rPr>
          <w:b/>
          <w:bCs/>
          <w:color w:val="201E1E"/>
          <w:vertAlign w:val="subscript"/>
          <w:lang w:val="en-US"/>
        </w:rPr>
        <w:t>cr</w:t>
      </w:r>
      <w:r w:rsidR="00FB1897">
        <w:rPr>
          <w:color w:val="201E1E"/>
          <w:vertAlign w:val="subscript"/>
          <w:lang w:val="en-US"/>
        </w:rPr>
        <w:t xml:space="preserve"> </w:t>
      </w:r>
      <w:r w:rsidR="00FB1897">
        <w:rPr>
          <w:color w:val="201E1E"/>
          <w:lang w:val="en-US"/>
        </w:rPr>
        <w:t>is the serum creatinine in mg/dL</w:t>
      </w:r>
    </w:p>
    <w:p w:rsidR="00FB1897" w:rsidRDefault="00FB1897" w:rsidP="00EE32D0">
      <w:pPr>
        <w:pStyle w:val="ListParagraph"/>
        <w:numPr>
          <w:ilvl w:val="0"/>
          <w:numId w:val="1"/>
        </w:numPr>
        <w:rPr>
          <w:color w:val="201E1E"/>
          <w:lang w:val="en-US"/>
        </w:rPr>
      </w:pPr>
      <w:r w:rsidRPr="00CD2228">
        <w:rPr>
          <w:b/>
          <w:bCs/>
          <w:color w:val="201E1E"/>
          <w:lang w:val="en-US"/>
        </w:rPr>
        <w:t>K</w:t>
      </w:r>
      <w:r>
        <w:rPr>
          <w:color w:val="201E1E"/>
          <w:lang w:val="en-US"/>
        </w:rPr>
        <w:t xml:space="preserve"> is</w:t>
      </w:r>
      <w:r w:rsidR="00BC4F50">
        <w:rPr>
          <w:color w:val="201E1E"/>
          <w:lang w:val="en-US"/>
        </w:rPr>
        <w:t xml:space="preserve"> a constant,</w:t>
      </w:r>
      <w:r>
        <w:rPr>
          <w:color w:val="201E1E"/>
          <w:lang w:val="en-US"/>
        </w:rPr>
        <w:t xml:space="preserve"> 0.7 for females or 0.9 for male</w:t>
      </w:r>
      <w:r w:rsidR="003722FC">
        <w:rPr>
          <w:color w:val="201E1E"/>
          <w:lang w:val="en-US"/>
        </w:rPr>
        <w:t>s</w:t>
      </w:r>
    </w:p>
    <w:p w:rsidR="00FF77D4" w:rsidRPr="00CD2228" w:rsidRDefault="00FB1897" w:rsidP="00FB1897">
      <w:pPr>
        <w:pStyle w:val="ListParagraph"/>
        <w:numPr>
          <w:ilvl w:val="0"/>
          <w:numId w:val="1"/>
        </w:numPr>
        <w:rPr>
          <w:color w:val="201E1E"/>
          <w:lang w:val="en-US"/>
        </w:rPr>
      </w:pPr>
      <w:r w:rsidRPr="00CD2228">
        <w:rPr>
          <w:b/>
          <w:bCs/>
          <w:color w:val="201E1E"/>
          <w:lang w:val="en-US"/>
        </w:rPr>
        <w:t>a</w:t>
      </w:r>
      <w:r>
        <w:rPr>
          <w:color w:val="201E1E"/>
          <w:lang w:val="en-US"/>
        </w:rPr>
        <w:t xml:space="preserve"> is</w:t>
      </w:r>
      <w:r w:rsidR="00BC4F50">
        <w:rPr>
          <w:color w:val="201E1E"/>
          <w:lang w:val="en-US"/>
        </w:rPr>
        <w:t xml:space="preserve"> a constant, </w:t>
      </w:r>
      <w:r>
        <w:rPr>
          <w:rFonts w:ascii="Helvetica" w:hAnsi="Helvetica"/>
          <w:color w:val="201E1E"/>
        </w:rPr>
        <w:t xml:space="preserve">-0.241 </w:t>
      </w:r>
      <w:r>
        <w:rPr>
          <w:rFonts w:ascii="Helvetica" w:hAnsi="Helvetica"/>
          <w:color w:val="201E1E"/>
          <w:lang w:val="en-US"/>
        </w:rPr>
        <w:t xml:space="preserve">for </w:t>
      </w:r>
      <w:r>
        <w:rPr>
          <w:rFonts w:ascii="Helvetica" w:hAnsi="Helvetica"/>
          <w:color w:val="201E1E"/>
        </w:rPr>
        <w:t xml:space="preserve">females or -0.302 </w:t>
      </w:r>
      <w:r>
        <w:rPr>
          <w:rFonts w:ascii="Helvetica" w:hAnsi="Helvetica"/>
          <w:color w:val="201E1E"/>
          <w:lang w:val="en-US"/>
        </w:rPr>
        <w:t xml:space="preserve">for </w:t>
      </w:r>
      <w:r>
        <w:rPr>
          <w:rFonts w:ascii="Helvetica" w:hAnsi="Helvetica"/>
          <w:color w:val="201E1E"/>
        </w:rPr>
        <w:t>males</w:t>
      </w:r>
    </w:p>
    <w:p w:rsidR="00CD2228" w:rsidRDefault="00CD2228" w:rsidP="00FB1897">
      <w:pPr>
        <w:pStyle w:val="ListParagraph"/>
        <w:numPr>
          <w:ilvl w:val="0"/>
          <w:numId w:val="1"/>
        </w:numPr>
        <w:rPr>
          <w:color w:val="201E1E"/>
          <w:lang w:val="en-US"/>
        </w:rPr>
      </w:pPr>
      <w:r>
        <w:rPr>
          <w:b/>
          <w:bCs/>
          <w:color w:val="201E1E"/>
          <w:lang w:val="en-US"/>
        </w:rPr>
        <w:t xml:space="preserve">age </w:t>
      </w:r>
      <w:r>
        <w:rPr>
          <w:color w:val="201E1E"/>
          <w:lang w:val="en-US"/>
        </w:rPr>
        <w:t xml:space="preserve">is the </w:t>
      </w:r>
      <w:r w:rsidR="00BC4F50">
        <w:rPr>
          <w:color w:val="201E1E"/>
          <w:lang w:val="en-US"/>
        </w:rPr>
        <w:t xml:space="preserve">patient’s </w:t>
      </w:r>
      <w:r>
        <w:rPr>
          <w:color w:val="201E1E"/>
          <w:lang w:val="en-US"/>
        </w:rPr>
        <w:t>age in years</w:t>
      </w:r>
    </w:p>
    <w:p w:rsidR="00FC3036" w:rsidRDefault="00AB0E11" w:rsidP="00AB0E11">
      <w:pPr>
        <w:pStyle w:val="Heading2"/>
        <w:rPr>
          <w:vertAlign w:val="subscript"/>
          <w:lang w:val="en-US"/>
        </w:rPr>
      </w:pPr>
      <w:r>
        <w:rPr>
          <w:lang w:val="en-US"/>
        </w:rPr>
        <w:t>The standardized S</w:t>
      </w:r>
      <w:r w:rsidRPr="00AB0E11">
        <w:rPr>
          <w:vertAlign w:val="subscript"/>
          <w:lang w:val="en-US"/>
        </w:rPr>
        <w:t>cr</w:t>
      </w:r>
    </w:p>
    <w:p w:rsidR="00545B1F" w:rsidRDefault="00545B1F" w:rsidP="00AB0E11">
      <w:r w:rsidRPr="00545B1F">
        <w:t>Standardized Scr refers to laboratory measurements of serum creatinine (S</w:t>
      </w:r>
      <w:r w:rsidRPr="00545B1F">
        <w:rPr>
          <w:vertAlign w:val="subscript"/>
        </w:rPr>
        <w:t>cr</w:t>
      </w:r>
      <w:r w:rsidRPr="00545B1F">
        <w:t>) that have been calibrated based on the National Institute of Standards and Technology</w:t>
      </w:r>
      <w:r>
        <w:rPr>
          <w:lang w:val="en-US"/>
        </w:rPr>
        <w:t xml:space="preserve"> (</w:t>
      </w:r>
      <w:r w:rsidRPr="00545B1F">
        <w:t>NIST</w:t>
      </w:r>
      <w:r>
        <w:rPr>
          <w:lang w:val="en-US"/>
        </w:rPr>
        <w:t>)</w:t>
      </w:r>
      <w:r w:rsidRPr="00545B1F">
        <w:t xml:space="preserve"> standard reference material (SRM) 967.</w:t>
      </w:r>
      <w:r>
        <w:rPr>
          <w:lang w:val="en-US"/>
        </w:rPr>
        <w:t xml:space="preserve"> </w:t>
      </w:r>
      <w:r w:rsidR="00AA5AE2">
        <w:rPr>
          <w:lang w:val="en-US"/>
        </w:rPr>
        <w:t xml:space="preserve">References </w:t>
      </w:r>
      <w:r w:rsidR="001D4700">
        <w:rPr>
          <w:lang w:val="en-US"/>
        </w:rPr>
        <w:fldChar w:fldCharType="begin"/>
      </w:r>
      <w:r w:rsidR="00521064">
        <w:rPr>
          <w:lang w:val="en-US"/>
        </w:rPr>
        <w:instrText xml:space="preserve"> ADDIN ZOTERO_ITEM CSL_CITATION {"citationID":"pNMtZFHv","properties":{"formattedCitation":"[3], [4]","plainCitation":"[3], [4]","noteIndex":0},"citationItems":[{"id":1013,"uris":["http://zotero.org/users/5983849/items/S7KKXGXX"],"itemData":{"id":1013,"type":"article-journal","abstract":"Background: To meet recommendations given by the Laboratory Working Group of the National Kidney Disease Education Program for improving serum creatinine measurements, NIST developed standard reference material (SRM) 967 Creatinine in Frozen Human Serum. SRM 967 is intended for use by laboratories and in vitro diagnostic equipment manufacturers for the calibration and evaluation of routine clinical methods.Methods: The SRM was produced from 2 serum pools with different creatinine concentrations. The concentrations were certified using a higher-order isotope-dilution GC-MS method and an isotope-dilution LC-MS method. The LC-MS method is a potential higher-order reference measurement procedure.Results: The GC-MS mean (CV) concentrations were 67.0 (0.9%) μmol/L for serum pool 1 and 346.1 (0.45%) μmol/L for serum pool 2. The LC-MS results were 66.1 (0.2%) μmol/L and 346.3 (0.2%) μmol/L, respectively. For serum pool 1, there was a 1.4% difference between the mean GC-MS and LC-MS measurements, and a 0.10% difference for serum pool 2. The results from the 2 methods were combined to give the certified concentrations and expanded uncertainties.Conclusions: The certified concentration (expanded uncertainty) of SRM 967 was 66.5 (1.8) μmol/L for serum pool 1 (a value close to the diagnostically important concentration of 88.4 μmol/L) and 346.2 (7.4) μmol/L for serum pool 2 (a concentration corresponding to that expected in a patient with chronic kidney disease).","container-title":"Clinical Chemistry","DOI":"10.1373/clinchem.2007.090027","ISSN":"0009-9147","issue":"9","journalAbbreviation":"Clinical Chemistry","page":"1694-1699","source":"Silverchair","title":"Certification of Creatinine in a Human Serum Reference Material by GC-MS and LC-MS","volume":"53","author":[{"family":"Dodder","given":"Nathan G"},{"family":"Tai","given":"Susan S-C"},{"family":"Sniegoski","given":"Lorna T"},{"family":"Zhang","given":"Nien F"},{"family":"Welch","given":"Michael J"}],"issued":{"date-parts":[["2007",9,1]]}}},{"id":1008,"uris":["http://zotero.org/users/5983849/items/2DP6USZD"],"itemData":{"id":1008,"type":"article-journal","abstract":"Differences in the performance of estimated glomerular filtration rate (eGFR) equations have been attributed to the mathematical form of the equations and to differences between patient demographics and measurement methods. We evaluated differences in serum creatinine (SCr) and eGFR in cohorts matched for age, sex, body mass index (BMI) and measured GFR (mGFR).White North Americans from Minnesota (n = 1093) and the Chronic Renal Insufficiency Cohort (CRIC) (n = 1548) and White subjects from the European Kidney Function Consortium (EKFC) cohort (n = 7727) were matched for demographic patient characteristics (sex, age ± 3 years, BMI ± 2.5 kg/m2) and renal function (mGFR ± 3 ml/min/1.73 m2). SCr was measured with isotope dilution mass spectrometry (IDMS)-traceable assays in the Minnesota and EKFC cohorts and with non-standardized SCr assays recalculated to IDMS in the CRIC. The Minnesota cohort and CRIC shared a common method to measure GFR (renal clearance of iothalamate), while the EKFC cohort used a variety of exogenous markers and methods, all with recognized sufficient accuracy. We compared the SCr levels and eGFR predictions [for Chronic Kidney Disease Epidemiology Collaboration (CKD-EPI) and EKFC equations] of patients fulfilling these matching criteria.For 305 matched individuals, mean SCr (mg/dL) was not different between the Minnesota and EKFC cohorts (females 0.83 ± 0.20 versus 0.86 ± 0.23, males 1.06 ± 0.23 versus 1.12 ± 0.37; P &amp;gt; .05) but significantly different from the CRIC [females 1.13 ± 0.23 (P &amp;lt; .0001), males 1.42 ± 0.31 (P &amp;lt; .0001)]. The CKD-EPI equations performed better than the EKFC equation in the CRIC, while the opposite was true in the Minnesota and EKFC cohorts.Significant differences in SCr concentrations between the Minnesota and EKFC cohorts versus CRIC were observed in subjects with the same level of mGFR and equal demographic characteristics and can be explained by the difference in SCr calibration.Standardization of serum creatinine (SCr) measurement is fundamental for estimating glomerular filtration rate (GFR). We used data with GFR measured by a reference method from three cohorts: Chronic Renal Insufficiency Cohort (CRIC, n = 1548), Minnesota cohort (n = 1093) and European Kidney Function Consortium cohort (EKFC; n = 7727). In the EKFC and Minnesota cohorts, SCr was measured by standardized methods, although SCr ‘calibration’ was more debatable in the CRIC. GFR was measured by the same method in the CRIC and Minnesota cohort. Then we matched 305 White subjects for sex, measured GFR (±3 ml/min/1.73 m2), age (±3 years) and body mass index (±2.5 kg/m2). From these matched subjects we showed that the association between SCr and measured GFR was quite similar between subjects from the Minnesota and EKFC cohorts, but different between the CRIC and EKFC cohort and between the Minnesota cohort and CRIC. These differences lead to discrepancies in the analysis of the performance of different creatinine-based equations.","container-title":"Clinical Kidney Journal","DOI":"10.1093/ckj/sfac182","ISSN":"2048-8505","issue":"12","journalAbbreviation":"Clinical Kidney Journal","page":"2258-2265","source":"Silverchair","title":"Standardization of serum creatinine is essential for accurate use of unbiased estimated GFR equations: evidence from three cohorts matched on renal function","title-short":"Standardization of serum creatinine is essential for accurate use of unbiased estimated GFR equations","volume":"15","author":[{"family":"Pottel","given":"Hans"},{"family":"Cavalier","given":"Etienne"},{"family":"Björk","given":"Jonas"},{"family":"Nyman","given":"Ulf"},{"family":"Grubb","given":"Anders"},{"family":"Ebert","given":"Natalie"},{"family":"Schaeffner","given":"Elke"},{"family":"Eriksen","given":"Björn O"},{"family":"Melsom","given":"Toralf"},{"family":"Lamb","given":"Edmund J"},{"family":"Mariat","given":"Christophe"},{"family":"Dubourg","given":"Laurence"},{"family":"Hansson","given":"Magnus"},{"family":"Littmann","given":"Karin"},{"family":"Sundin","given":"Per-Ola"},{"family":"Åkesson","given":"Anna"},{"family":"Larsson","given":"Anders"},{"family":"Rule","given":"Andrew"},{"family":"Delanaye","given":"Pierre"}],"issued":{"date-parts":[["2022",12,1]]}}}],"schema":"https://github.com/citation-style-language/schema/raw/master/csl-citation.json"} </w:instrText>
      </w:r>
      <w:r w:rsidR="001D4700">
        <w:rPr>
          <w:lang w:val="en-US"/>
        </w:rPr>
        <w:fldChar w:fldCharType="separate"/>
      </w:r>
      <w:r w:rsidR="00521064">
        <w:rPr>
          <w:noProof/>
          <w:lang w:val="en-US"/>
        </w:rPr>
        <w:t>[3], [4]</w:t>
      </w:r>
      <w:r w:rsidR="001D4700">
        <w:rPr>
          <w:lang w:val="en-US"/>
        </w:rPr>
        <w:fldChar w:fldCharType="end"/>
      </w:r>
      <w:r w:rsidR="001D4700">
        <w:rPr>
          <w:lang w:val="en-US"/>
        </w:rPr>
        <w:t xml:space="preserve"> outline the </w:t>
      </w:r>
      <w:r w:rsidR="00521064">
        <w:rPr>
          <w:lang w:val="en-US"/>
        </w:rPr>
        <w:t xml:space="preserve">methodology of the standardization and its </w:t>
      </w:r>
      <w:r w:rsidR="001D4700">
        <w:rPr>
          <w:lang w:val="en-US"/>
        </w:rPr>
        <w:t xml:space="preserve">importance </w:t>
      </w:r>
      <w:r w:rsidR="00521064">
        <w:rPr>
          <w:lang w:val="en-US"/>
        </w:rPr>
        <w:t>in eGFR results</w:t>
      </w:r>
      <w:r w:rsidR="00555E98">
        <w:rPr>
          <w:lang w:val="en-US"/>
        </w:rPr>
        <w:t>, respectively.</w:t>
      </w:r>
      <w:r w:rsidR="00521064">
        <w:rPr>
          <w:lang w:val="en-US"/>
        </w:rPr>
        <w:t xml:space="preserve"> </w:t>
      </w:r>
      <w:r w:rsidR="00C40A57">
        <w:rPr>
          <w:lang w:val="en-US"/>
        </w:rPr>
        <w:t>With the introduction of t</w:t>
      </w:r>
      <w:r w:rsidR="00521064">
        <w:rPr>
          <w:lang w:val="en-US"/>
        </w:rPr>
        <w:t xml:space="preserve">he SRM 967 </w:t>
      </w:r>
      <w:r w:rsidR="00471F89">
        <w:rPr>
          <w:lang w:val="en-US"/>
        </w:rPr>
        <w:t>in 2007</w:t>
      </w:r>
      <w:r w:rsidR="00C40A57">
        <w:rPr>
          <w:lang w:val="en-US"/>
        </w:rPr>
        <w:t xml:space="preserve">, </w:t>
      </w:r>
      <w:r w:rsidR="00471F89">
        <w:rPr>
          <w:lang w:val="en-US"/>
        </w:rPr>
        <w:t xml:space="preserve">manufacturers </w:t>
      </w:r>
      <w:r w:rsidR="00C40A57" w:rsidRPr="00C40A57">
        <w:t>have been required to follow this standard ever since</w:t>
      </w:r>
      <w:r w:rsidR="00C40A57">
        <w:rPr>
          <w:lang w:val="en-US"/>
        </w:rPr>
        <w:t xml:space="preserve"> </w:t>
      </w:r>
      <w:r w:rsidR="00471F89">
        <w:rPr>
          <w:lang w:val="en-US"/>
        </w:rPr>
        <w:fldChar w:fldCharType="begin"/>
      </w:r>
      <w:r w:rsidR="00555E98">
        <w:rPr>
          <w:lang w:val="en-US"/>
        </w:rPr>
        <w:instrText xml:space="preserve"> ADDIN ZOTERO_ITEM CSL_CITATION {"citationID":"Sx5mUtRd","properties":{"formattedCitation":"[4]","plainCitation":"[4]","noteIndex":0},"citationItems":[{"id":1008,"uris":["http://zotero.org/users/5983849/items/2DP6USZD"],"itemData":{"id":1008,"type":"article-journal","abstract":"Differences in the performance of estimated glomerular filtration rate (eGFR) equations have been attributed to the mathematical form of the equations and to differences between patient demographics and measurement methods. We evaluated differences in serum creatinine (SCr) and eGFR in cohorts matched for age, sex, body mass index (BMI) and measured GFR (mGFR).White North Americans from Minnesota (n = 1093) and the Chronic Renal Insufficiency Cohort (CRIC) (n = 1548) and White subjects from the European Kidney Function Consortium (EKFC) cohort (n = 7727) were matched for demographic patient characteristics (sex, age ± 3 years, BMI ± 2.5 kg/m2) and renal function (mGFR ± 3 ml/min/1.73 m2). SCr was measured with isotope dilution mass spectrometry (IDMS)-traceable assays in the Minnesota and EKFC cohorts and with non-standardized SCr assays recalculated to IDMS in the CRIC. The Minnesota cohort and CRIC shared a common method to measure GFR (renal clearance of iothalamate), while the EKFC cohort used a variety of exogenous markers and methods, all with recognized sufficient accuracy. We compared the SCr levels and eGFR predictions [for Chronic Kidney Disease Epidemiology Collaboration (CKD-EPI) and EKFC equations] of patients fulfilling these matching criteria.For 305 matched individuals, mean SCr (mg/dL) was not different between the Minnesota and EKFC cohorts (females 0.83 ± 0.20 versus 0.86 ± 0.23, males 1.06 ± 0.23 versus 1.12 ± 0.37; P &amp;gt; .05) but significantly different from the CRIC [females 1.13 ± 0.23 (P &amp;lt; .0001), males 1.42 ± 0.31 (P &amp;lt; .0001)]. The CKD-EPI equations performed better than the EKFC equation in the CRIC, while the opposite was true in the Minnesota and EKFC cohorts.Significant differences in SCr concentrations between the Minnesota and EKFC cohorts versus CRIC were observed in subjects with the same level of mGFR and equal demographic characteristics and can be explained by the difference in SCr calibration.Standardization of serum creatinine (SCr) measurement is fundamental for estimating glomerular filtration rate (GFR). We used data with GFR measured by a reference method from three cohorts: Chronic Renal Insufficiency Cohort (CRIC, n = 1548), Minnesota cohort (n = 1093) and European Kidney Function Consortium cohort (EKFC; n = 7727). In the EKFC and Minnesota cohorts, SCr was measured by standardized methods, although SCr ‘calibration’ was more debatable in the CRIC. GFR was measured by the same method in the CRIC and Minnesota cohort. Then we matched 305 White subjects for sex, measured GFR (±3 ml/min/1.73 m2), age (±3 years) and body mass index (±2.5 kg/m2). From these matched subjects we showed that the association between SCr and measured GFR was quite similar between subjects from the Minnesota and EKFC cohorts, but different between the CRIC and EKFC cohort and between the Minnesota cohort and CRIC. These differences lead to discrepancies in the analysis of the performance of different creatinine-based equations.","container-title":"Clinical Kidney Journal","DOI":"10.1093/ckj/sfac182","ISSN":"2048-8505","issue":"12","journalAbbreviation":"Clinical Kidney Journal","page":"2258-2265","source":"Silverchair","title":"Standardization of serum creatinine is essential for accurate use of unbiased estimated GFR equations: evidence from three cohorts matched on renal function","title-short":"Standardization of serum creatinine is essential for accurate use of unbiased estimated GFR equations","volume":"15","author":[{"family":"Pottel","given":"Hans"},{"family":"Cavalier","given":"Etienne"},{"family":"Björk","given":"Jonas"},{"family":"Nyman","given":"Ulf"},{"family":"Grubb","given":"Anders"},{"family":"Ebert","given":"Natalie"},{"family":"Schaeffner","given":"Elke"},{"family":"Eriksen","given":"Björn O"},{"family":"Melsom","given":"Toralf"},{"family":"Lamb","given":"Edmund J"},{"family":"Mariat","given":"Christophe"},{"family":"Dubourg","given":"Laurence"},{"family":"Hansson","given":"Magnus"},{"family":"Littmann","given":"Karin"},{"family":"Sundin","given":"Per-Ola"},{"family":"Åkesson","given":"Anna"},{"family":"Larsson","given":"Anders"},{"family":"Rule","given":"Andrew"},{"family":"Delanaye","given":"Pierre"}],"issued":{"date-parts":[["2022",12,1]]}}}],"schema":"https://github.com/citation-style-language/schema/raw/master/csl-citation.json"} </w:instrText>
      </w:r>
      <w:r w:rsidR="00471F89">
        <w:rPr>
          <w:lang w:val="en-US"/>
        </w:rPr>
        <w:fldChar w:fldCharType="separate"/>
      </w:r>
      <w:r w:rsidR="00555E98">
        <w:rPr>
          <w:noProof/>
          <w:lang w:val="en-US"/>
        </w:rPr>
        <w:t>[4]</w:t>
      </w:r>
      <w:r w:rsidR="00471F89">
        <w:rPr>
          <w:lang w:val="en-US"/>
        </w:rPr>
        <w:fldChar w:fldCharType="end"/>
      </w:r>
      <w:r w:rsidR="00555E98">
        <w:rPr>
          <w:lang w:val="en-US"/>
        </w:rPr>
        <w:t>.</w:t>
      </w:r>
    </w:p>
    <w:p w:rsidR="00125FCF" w:rsidRDefault="00847179" w:rsidP="00847179">
      <w:pPr>
        <w:pStyle w:val="Heading1"/>
        <w:rPr>
          <w:lang w:val="en-US"/>
        </w:rPr>
      </w:pPr>
      <w:r>
        <w:rPr>
          <w:lang w:val="en-US"/>
        </w:rPr>
        <w:t>The MIMIC-IV dataset</w:t>
      </w:r>
    </w:p>
    <w:p w:rsidR="00611ECE" w:rsidRDefault="00F515FE" w:rsidP="00611ECE">
      <w:pPr>
        <w:rPr>
          <w:rFonts w:ascii="Arial" w:hAnsi="Arial" w:cs="Arial"/>
        </w:rPr>
      </w:pPr>
      <w:r>
        <w:rPr>
          <w:i/>
          <w:iCs/>
          <w:lang w:val="en-US"/>
        </w:rPr>
        <w:t>“</w:t>
      </w:r>
      <w:r w:rsidR="00CD4584" w:rsidRPr="00CD4584">
        <w:rPr>
          <w:i/>
          <w:iCs/>
          <w:lang w:val="en-US"/>
        </w:rPr>
        <w:t>MIMIC (Medical Information Mart for Intensive Care) is a large, freely-available database comprising deidentified health-related data from patients who were admitted to the critical care units of the Beth Israel Deaconess Medical Center</w:t>
      </w:r>
      <w:r>
        <w:rPr>
          <w:rFonts w:ascii="Arial" w:hAnsi="Arial" w:cs="Arial"/>
          <w:i/>
          <w:iCs/>
          <w:lang w:val="en-US"/>
        </w:rPr>
        <w:t>”</w:t>
      </w:r>
      <w:r w:rsidR="00CD4584">
        <w:rPr>
          <w:rFonts w:ascii="Arial" w:hAnsi="Arial" w:cs="Arial"/>
          <w:i/>
          <w:iCs/>
          <w:lang w:val="en-US"/>
        </w:rPr>
        <w:t xml:space="preserve"> </w:t>
      </w:r>
      <w:r w:rsidR="00CD4584" w:rsidRPr="00CD4584">
        <w:rPr>
          <w:rFonts w:ascii="Arial" w:hAnsi="Arial" w:cs="Arial"/>
          <w:lang w:val="en-US"/>
        </w:rPr>
        <w:fldChar w:fldCharType="begin"/>
      </w:r>
      <w:r w:rsidR="00CD4584" w:rsidRPr="00CD4584">
        <w:rPr>
          <w:rFonts w:ascii="Arial" w:hAnsi="Arial" w:cs="Arial"/>
          <w:lang w:val="en-US"/>
        </w:rPr>
        <w:instrText xml:space="preserve"> ADDIN ZOTERO_ITEM CSL_CITATION {"citationID":"wEIInjBe","properties":{"formattedCitation":"[5]","plainCitation":"[5]","noteIndex":0},"citationItems":[{"id":1020,"uris":["http://zotero.org/users/5983849/items/DIDNBG7Q"],"itemData":{"id":1020,"type":"webpage","abstract":"A large, publicly available critical care database","container-title":"MIMIC","language":"en","title":"About MIMIC","URL":"https://mimic.mit.edu/docs/about/","accessed":{"date-parts":[["2023",5,24]]}}}],"schema":"https://github.com/citation-style-language/schema/raw/master/csl-citation.json"} </w:instrText>
      </w:r>
      <w:r w:rsidR="00CD4584" w:rsidRPr="00CD4584">
        <w:rPr>
          <w:rFonts w:ascii="Arial" w:hAnsi="Arial" w:cs="Arial"/>
          <w:lang w:val="en-US"/>
        </w:rPr>
        <w:fldChar w:fldCharType="separate"/>
      </w:r>
      <w:r w:rsidR="00CD4584" w:rsidRPr="00CD4584">
        <w:rPr>
          <w:rFonts w:ascii="Arial" w:hAnsi="Arial" w:cs="Arial"/>
          <w:noProof/>
          <w:lang w:val="en-US"/>
        </w:rPr>
        <w:t>[5]</w:t>
      </w:r>
      <w:r w:rsidR="00CD4584" w:rsidRPr="00CD4584">
        <w:rPr>
          <w:rFonts w:ascii="Arial" w:hAnsi="Arial" w:cs="Arial"/>
          <w:lang w:val="en-US"/>
        </w:rPr>
        <w:fldChar w:fldCharType="end"/>
      </w:r>
      <w:r w:rsidR="00CD4584">
        <w:rPr>
          <w:rFonts w:ascii="Arial" w:hAnsi="Arial" w:cs="Arial"/>
          <w:lang w:val="en-US"/>
        </w:rPr>
        <w:t xml:space="preserve">. While the database is freely-available, </w:t>
      </w:r>
      <w:r w:rsidR="00544D7B" w:rsidRPr="00544D7B">
        <w:rPr>
          <w:rFonts w:ascii="Arial" w:hAnsi="Arial" w:cs="Arial"/>
          <w:lang w:val="en-US"/>
        </w:rPr>
        <w:t>individuals are required to complete the necessary training in</w:t>
      </w:r>
      <w:r w:rsidR="00544D7B">
        <w:rPr>
          <w:rFonts w:ascii="Arial" w:hAnsi="Arial" w:cs="Arial"/>
          <w:lang w:val="en-US"/>
        </w:rPr>
        <w:t xml:space="preserve"> </w:t>
      </w:r>
      <w:hyperlink r:id="rId8" w:history="1">
        <w:r w:rsidR="00630E04" w:rsidRPr="00630E04">
          <w:rPr>
            <w:rStyle w:val="Hyperlink"/>
            <w:rFonts w:ascii="Arial" w:hAnsi="Arial" w:cs="Arial"/>
            <w:lang w:val="en-US"/>
          </w:rPr>
          <w:t>CITI Data or Specimens Only Research</w:t>
        </w:r>
      </w:hyperlink>
      <w:r w:rsidR="00630E04">
        <w:rPr>
          <w:rFonts w:ascii="Arial" w:hAnsi="Arial" w:cs="Arial"/>
          <w:lang w:val="en-US"/>
        </w:rPr>
        <w:t xml:space="preserve">, </w:t>
      </w:r>
      <w:r w:rsidR="00544D7B" w:rsidRPr="00544D7B">
        <w:rPr>
          <w:rFonts w:ascii="Arial" w:hAnsi="Arial" w:cs="Arial"/>
        </w:rPr>
        <w:t>and subsequently apply for data access through the</w:t>
      </w:r>
      <w:r w:rsidR="00A331DF">
        <w:rPr>
          <w:rFonts w:ascii="Arial" w:hAnsi="Arial" w:cs="Arial"/>
          <w:lang w:val="en-US"/>
        </w:rPr>
        <w:t xml:space="preserve"> </w:t>
      </w:r>
      <w:hyperlink r:id="rId9" w:history="1">
        <w:r w:rsidR="00A331DF" w:rsidRPr="00A331DF">
          <w:rPr>
            <w:rStyle w:val="Hyperlink"/>
            <w:rFonts w:ascii="Arial" w:hAnsi="Arial" w:cs="Arial"/>
            <w:lang w:val="en-US"/>
          </w:rPr>
          <w:t>physionet.org</w:t>
        </w:r>
      </w:hyperlink>
      <w:r w:rsidR="00A331DF">
        <w:rPr>
          <w:rFonts w:ascii="Arial" w:hAnsi="Arial" w:cs="Arial"/>
          <w:lang w:val="en-US"/>
        </w:rPr>
        <w:t xml:space="preserve"> website</w:t>
      </w:r>
      <w:r w:rsidR="007C1CCB">
        <w:rPr>
          <w:rFonts w:ascii="Arial" w:hAnsi="Arial" w:cs="Arial"/>
          <w:lang w:val="en-US"/>
        </w:rPr>
        <w:t xml:space="preserve">. </w:t>
      </w:r>
      <w:r w:rsidR="00544D7B" w:rsidRPr="00544D7B">
        <w:rPr>
          <w:rFonts w:ascii="Arial" w:hAnsi="Arial" w:cs="Arial"/>
        </w:rPr>
        <w:t>You can find my training certificate confirming completion of the required training</w:t>
      </w:r>
      <w:r w:rsidR="00C13203">
        <w:rPr>
          <w:rFonts w:ascii="Arial" w:hAnsi="Arial" w:cs="Arial"/>
          <w:lang w:val="en-US"/>
        </w:rPr>
        <w:t xml:space="preserve"> </w:t>
      </w:r>
      <w:hyperlink r:id="rId10" w:history="1">
        <w:r w:rsidR="00C13203" w:rsidRPr="00C13203">
          <w:rPr>
            <w:rStyle w:val="Hyperlink"/>
            <w:rFonts w:ascii="Arial" w:hAnsi="Arial" w:cs="Arial"/>
            <w:lang w:val="en-US"/>
          </w:rPr>
          <w:t>here</w:t>
        </w:r>
      </w:hyperlink>
      <w:r w:rsidR="00C13203">
        <w:rPr>
          <w:rFonts w:ascii="Arial" w:hAnsi="Arial" w:cs="Arial"/>
          <w:lang w:val="en-US"/>
        </w:rPr>
        <w:t>.</w:t>
      </w:r>
      <w:r w:rsidR="00FB2AB1">
        <w:rPr>
          <w:rFonts w:ascii="Arial" w:hAnsi="Arial" w:cs="Arial"/>
          <w:lang w:val="en-US"/>
        </w:rPr>
        <w:t xml:space="preserve"> </w:t>
      </w:r>
      <w:r w:rsidR="00544D7B" w:rsidRPr="00544D7B">
        <w:rPr>
          <w:rFonts w:ascii="Arial" w:hAnsi="Arial" w:cs="Arial"/>
        </w:rPr>
        <w:t>Access to MIMIC is offered through two methods: cloud-based</w:t>
      </w:r>
      <w:r w:rsidR="00FB2AB1">
        <w:rPr>
          <w:rFonts w:ascii="Arial" w:hAnsi="Arial" w:cs="Arial"/>
          <w:lang w:val="en-US"/>
        </w:rPr>
        <w:t xml:space="preserve"> </w:t>
      </w:r>
      <w:r w:rsidR="00FB2AB1">
        <w:rPr>
          <w:rFonts w:ascii="Arial" w:hAnsi="Arial" w:cs="Arial"/>
          <w:lang w:val="en-US"/>
        </w:rPr>
        <w:fldChar w:fldCharType="begin"/>
      </w:r>
      <w:r w:rsidR="00FB2AB1">
        <w:rPr>
          <w:rFonts w:ascii="Arial" w:hAnsi="Arial" w:cs="Arial"/>
          <w:lang w:val="en-US"/>
        </w:rPr>
        <w:instrText xml:space="preserve"> ADDIN ZOTERO_ITEM CSL_CITATION {"citationID":"7PN5Fwwk","properties":{"formattedCitation":"[6]","plainCitation":"[6]","noteIndex":0},"citationItems":[{"id":1022,"uris":["http://zotero.org/users/5983849/items/T3WIJIGQ"],"itemData":{"id":1022,"type":"webpage","abstract":"Access MIMIC on the Cloud","container-title":"MIMIC","language":"en","title":"Cloud","URL":"https://mimic.mit.edu/docs/gettingstarted/cloud/","accessed":{"date-parts":[["2023",5,24]]}}}],"schema":"https://github.com/citation-style-language/schema/raw/master/csl-citation.json"} </w:instrText>
      </w:r>
      <w:r w:rsidR="00FB2AB1">
        <w:rPr>
          <w:rFonts w:ascii="Arial" w:hAnsi="Arial" w:cs="Arial"/>
          <w:lang w:val="en-US"/>
        </w:rPr>
        <w:fldChar w:fldCharType="separate"/>
      </w:r>
      <w:r w:rsidR="00FB2AB1">
        <w:rPr>
          <w:rFonts w:ascii="Arial" w:hAnsi="Arial" w:cs="Arial"/>
          <w:noProof/>
          <w:lang w:val="en-US"/>
        </w:rPr>
        <w:t>[6]</w:t>
      </w:r>
      <w:r w:rsidR="00FB2AB1">
        <w:rPr>
          <w:rFonts w:ascii="Arial" w:hAnsi="Arial" w:cs="Arial"/>
          <w:lang w:val="en-US"/>
        </w:rPr>
        <w:fldChar w:fldCharType="end"/>
      </w:r>
      <w:r w:rsidR="00FB2AB1">
        <w:rPr>
          <w:rFonts w:ascii="Arial" w:hAnsi="Arial" w:cs="Arial"/>
          <w:lang w:val="en-US"/>
        </w:rPr>
        <w:t xml:space="preserve"> or </w:t>
      </w:r>
      <w:r w:rsidR="007341DE">
        <w:rPr>
          <w:rFonts w:ascii="Arial" w:hAnsi="Arial" w:cs="Arial"/>
          <w:lang w:val="en-US"/>
        </w:rPr>
        <w:t xml:space="preserve">local </w:t>
      </w:r>
      <w:r w:rsidR="007341DE">
        <w:rPr>
          <w:rFonts w:ascii="Arial" w:hAnsi="Arial" w:cs="Arial"/>
          <w:lang w:val="en-US"/>
        </w:rPr>
        <w:fldChar w:fldCharType="begin"/>
      </w:r>
      <w:r w:rsidR="007341DE">
        <w:rPr>
          <w:rFonts w:ascii="Arial" w:hAnsi="Arial" w:cs="Arial"/>
          <w:lang w:val="en-US"/>
        </w:rPr>
        <w:instrText xml:space="preserve"> ADDIN ZOTERO_ITEM CSL_CITATION {"citationID":"ptpTo1ar","properties":{"formattedCitation":"[7]","plainCitation":"[7]","noteIndex":0},"citationItems":[{"id":1024,"uris":["http://zotero.org/users/5983849/items/SPVD7UXC"],"itemData":{"id":1024,"type":"webpage","abstract":"A large, publicly available critical care database","container-title":"MIMIC","language":"en","title":"Local database setup","URL":"https://mimic.mit.edu/docs/gettingstarted/local/","accessed":{"date-parts":[["2023",5,24]]}}}],"schema":"https://github.com/citation-style-language/schema/raw/master/csl-citation.json"} </w:instrText>
      </w:r>
      <w:r w:rsidR="007341DE">
        <w:rPr>
          <w:rFonts w:ascii="Arial" w:hAnsi="Arial" w:cs="Arial"/>
          <w:lang w:val="en-US"/>
        </w:rPr>
        <w:fldChar w:fldCharType="separate"/>
      </w:r>
      <w:r w:rsidR="007341DE">
        <w:rPr>
          <w:rFonts w:ascii="Arial" w:hAnsi="Arial" w:cs="Arial"/>
          <w:noProof/>
          <w:lang w:val="en-US"/>
        </w:rPr>
        <w:t>[7]</w:t>
      </w:r>
      <w:r w:rsidR="007341DE">
        <w:rPr>
          <w:rFonts w:ascii="Arial" w:hAnsi="Arial" w:cs="Arial"/>
          <w:lang w:val="en-US"/>
        </w:rPr>
        <w:fldChar w:fldCharType="end"/>
      </w:r>
      <w:r w:rsidR="007341DE">
        <w:rPr>
          <w:rFonts w:ascii="Arial" w:hAnsi="Arial" w:cs="Arial"/>
          <w:lang w:val="en-US"/>
        </w:rPr>
        <w:t>. For my master thesis I chose to access the data in the BigQuery db</w:t>
      </w:r>
      <w:r w:rsidR="00C455D8">
        <w:rPr>
          <w:rFonts w:ascii="Arial" w:hAnsi="Arial" w:cs="Arial"/>
          <w:lang w:val="en-US"/>
        </w:rPr>
        <w:t xml:space="preserve">. </w:t>
      </w:r>
      <w:r w:rsidR="001A3089" w:rsidRPr="001A3089">
        <w:rPr>
          <w:rFonts w:ascii="Arial" w:hAnsi="Arial" w:cs="Arial"/>
        </w:rPr>
        <w:t xml:space="preserve">For my master's thesis, I opted to access the data in the BigQuery database. In this project, I have chosen to set up the local database, specifically utilizing a Postgres installation as outlined in the mimic-IV </w:t>
      </w:r>
      <w:r w:rsidR="001A3089">
        <w:rPr>
          <w:rFonts w:ascii="Arial" w:hAnsi="Arial" w:cs="Arial"/>
        </w:rPr>
        <w:fldChar w:fldCharType="begin"/>
      </w:r>
      <w:r w:rsidR="00F05D2C">
        <w:rPr>
          <w:rFonts w:ascii="Arial" w:hAnsi="Arial" w:cs="Arial"/>
        </w:rPr>
        <w:instrText>HYPERLINK "https://github.com/MIT-LCP/mimic-code/tree/main/mimic-iv/buildmimic/postgres"</w:instrText>
      </w:r>
      <w:r w:rsidR="00F05D2C">
        <w:rPr>
          <w:rFonts w:ascii="Arial" w:hAnsi="Arial" w:cs="Arial"/>
        </w:rPr>
      </w:r>
      <w:r w:rsidR="001A3089">
        <w:rPr>
          <w:rFonts w:ascii="Arial" w:hAnsi="Arial" w:cs="Arial"/>
        </w:rPr>
        <w:fldChar w:fldCharType="separate"/>
      </w:r>
      <w:r w:rsidR="001A3089" w:rsidRPr="001A3089">
        <w:rPr>
          <w:rStyle w:val="Hyperlink"/>
          <w:rFonts w:ascii="Arial" w:hAnsi="Arial" w:cs="Arial"/>
        </w:rPr>
        <w:t>GitHub page</w:t>
      </w:r>
      <w:r w:rsidR="001A3089">
        <w:rPr>
          <w:rFonts w:ascii="Arial" w:hAnsi="Arial" w:cs="Arial"/>
        </w:rPr>
        <w:fldChar w:fldCharType="end"/>
      </w:r>
      <w:r w:rsidR="001A3089" w:rsidRPr="001A3089">
        <w:rPr>
          <w:rFonts w:ascii="Arial" w:hAnsi="Arial" w:cs="Arial"/>
        </w:rPr>
        <w:t>, as I wanted to explore the capabilities of the PostgresSQL language.</w:t>
      </w:r>
    </w:p>
    <w:p w:rsidR="00F4246A" w:rsidRPr="00CD4584" w:rsidRDefault="00F4246A" w:rsidP="00F4246A">
      <w:pPr>
        <w:ind w:firstLine="0"/>
        <w:rPr>
          <w:sz w:val="20"/>
          <w:szCs w:val="20"/>
          <w:lang w:val="en-US"/>
        </w:rPr>
      </w:pPr>
    </w:p>
    <w:p w:rsidR="00847179" w:rsidRPr="00847179" w:rsidRDefault="00847179" w:rsidP="00847179">
      <w:pPr>
        <w:rPr>
          <w:lang w:val="en-US"/>
        </w:rPr>
      </w:pPr>
    </w:p>
    <w:p w:rsidR="00135FD7" w:rsidRPr="00406679" w:rsidRDefault="00135FD7" w:rsidP="00135FD7">
      <w:pPr>
        <w:pStyle w:val="Heading1"/>
        <w:rPr>
          <w:lang w:val="en-US"/>
        </w:rPr>
      </w:pPr>
      <w:r w:rsidRPr="00135FD7">
        <w:t>References</w:t>
      </w:r>
    </w:p>
    <w:p w:rsidR="007341DE" w:rsidRPr="007341DE" w:rsidRDefault="00135FD7" w:rsidP="007341DE">
      <w:pPr>
        <w:pStyle w:val="Bibliography"/>
        <w:rPr>
          <w:rFonts w:ascii="Arial" w:cs="Arial"/>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007341DE" w:rsidRPr="007341DE">
        <w:rPr>
          <w:rFonts w:ascii="Arial" w:cs="Arial"/>
          <w:lang w:val="en-GB"/>
        </w:rPr>
        <w:t>[1]</w:t>
      </w:r>
      <w:r w:rsidR="007341DE" w:rsidRPr="007341DE">
        <w:rPr>
          <w:rFonts w:ascii="Arial" w:cs="Arial"/>
          <w:lang w:val="en-GB"/>
        </w:rPr>
        <w:tab/>
        <w:t xml:space="preserve">L. A. Inker </w:t>
      </w:r>
      <w:r w:rsidR="007341DE" w:rsidRPr="007341DE">
        <w:rPr>
          <w:rFonts w:ascii="Arial" w:cs="Arial"/>
          <w:i/>
          <w:iCs/>
          <w:lang w:val="en-GB"/>
        </w:rPr>
        <w:t>et al.</w:t>
      </w:r>
      <w:r w:rsidR="007341DE" w:rsidRPr="007341DE">
        <w:rPr>
          <w:rFonts w:ascii="Arial" w:cs="Arial"/>
          <w:lang w:val="en-GB"/>
        </w:rPr>
        <w:t xml:space="preserve">, ‘New Creatinine- and Cystatin C–Based Equations to Estimate GFR without Race’, </w:t>
      </w:r>
      <w:r w:rsidR="007341DE" w:rsidRPr="007341DE">
        <w:rPr>
          <w:rFonts w:ascii="Arial" w:cs="Arial"/>
          <w:i/>
          <w:iCs/>
          <w:lang w:val="en-GB"/>
        </w:rPr>
        <w:t>N. Engl. J. Med.</w:t>
      </w:r>
      <w:r w:rsidR="007341DE" w:rsidRPr="007341DE">
        <w:rPr>
          <w:rFonts w:ascii="Arial" w:cs="Arial"/>
          <w:lang w:val="en-GB"/>
        </w:rPr>
        <w:t xml:space="preserve">, vol. 385, no. 19, pp. 1737–1749, Nov. 2021, </w:t>
      </w:r>
      <w:proofErr w:type="spellStart"/>
      <w:r w:rsidR="007341DE" w:rsidRPr="007341DE">
        <w:rPr>
          <w:rFonts w:ascii="Arial" w:cs="Arial"/>
          <w:lang w:val="en-GB"/>
        </w:rPr>
        <w:t>doi</w:t>
      </w:r>
      <w:proofErr w:type="spellEnd"/>
      <w:r w:rsidR="007341DE" w:rsidRPr="007341DE">
        <w:rPr>
          <w:rFonts w:ascii="Arial" w:cs="Arial"/>
          <w:lang w:val="en-GB"/>
        </w:rPr>
        <w:t>: 10.1056/NEJMoa2102953.</w:t>
      </w:r>
    </w:p>
    <w:p w:rsidR="007341DE" w:rsidRPr="007341DE" w:rsidRDefault="007341DE" w:rsidP="007341DE">
      <w:pPr>
        <w:pStyle w:val="Bibliography"/>
        <w:rPr>
          <w:rFonts w:ascii="Arial" w:cs="Arial"/>
          <w:lang w:val="en-GB"/>
        </w:rPr>
      </w:pPr>
      <w:r w:rsidRPr="007341DE">
        <w:rPr>
          <w:rFonts w:ascii="Arial" w:cs="Arial"/>
          <w:lang w:val="en-GB"/>
        </w:rPr>
        <w:lastRenderedPageBreak/>
        <w:t>[2]</w:t>
      </w:r>
      <w:r w:rsidRPr="007341DE">
        <w:rPr>
          <w:rFonts w:ascii="Arial" w:cs="Arial"/>
          <w:lang w:val="en-GB"/>
        </w:rPr>
        <w:tab/>
        <w:t xml:space="preserve">‘CKD-EPI Creatinine Equation (2021)’, </w:t>
      </w:r>
      <w:r w:rsidRPr="007341DE">
        <w:rPr>
          <w:rFonts w:ascii="Arial" w:cs="Arial"/>
          <w:i/>
          <w:iCs/>
          <w:lang w:val="en-GB"/>
        </w:rPr>
        <w:t>National Kidney Foundation</w:t>
      </w:r>
      <w:r w:rsidRPr="007341DE">
        <w:rPr>
          <w:rFonts w:ascii="Arial" w:cs="Arial"/>
          <w:lang w:val="en-GB"/>
        </w:rPr>
        <w:t>, Oct. 01, 2021. https://www.kidney.org/professionals/kdoqi/gfr_calculator/formula (accessed May 19, 2023).</w:t>
      </w:r>
    </w:p>
    <w:p w:rsidR="007341DE" w:rsidRPr="007341DE" w:rsidRDefault="007341DE" w:rsidP="007341DE">
      <w:pPr>
        <w:pStyle w:val="Bibliography"/>
        <w:rPr>
          <w:rFonts w:ascii="Arial" w:cs="Arial"/>
          <w:lang w:val="en-GB"/>
        </w:rPr>
      </w:pPr>
      <w:r w:rsidRPr="007341DE">
        <w:rPr>
          <w:rFonts w:ascii="Arial" w:cs="Arial"/>
          <w:lang w:val="en-GB"/>
        </w:rPr>
        <w:t>[3]</w:t>
      </w:r>
      <w:r w:rsidRPr="007341DE">
        <w:rPr>
          <w:rFonts w:ascii="Arial" w:cs="Arial"/>
          <w:lang w:val="en-GB"/>
        </w:rPr>
        <w:tab/>
        <w:t xml:space="preserve">N. G. Dodder, S. S.-C. Tai, L. T. </w:t>
      </w:r>
      <w:proofErr w:type="spellStart"/>
      <w:r w:rsidRPr="007341DE">
        <w:rPr>
          <w:rFonts w:ascii="Arial" w:cs="Arial"/>
          <w:lang w:val="en-GB"/>
        </w:rPr>
        <w:t>Sniegoski</w:t>
      </w:r>
      <w:proofErr w:type="spellEnd"/>
      <w:r w:rsidRPr="007341DE">
        <w:rPr>
          <w:rFonts w:ascii="Arial" w:cs="Arial"/>
          <w:lang w:val="en-GB"/>
        </w:rPr>
        <w:t xml:space="preserve">, N. F. Zhang, and M. J. Welch, ‘Certification of Creatinine in a Human Serum Reference Material by GC-MS and LC-MS’, </w:t>
      </w:r>
      <w:r w:rsidRPr="007341DE">
        <w:rPr>
          <w:rFonts w:ascii="Arial" w:cs="Arial"/>
          <w:i/>
          <w:iCs/>
          <w:lang w:val="en-GB"/>
        </w:rPr>
        <w:t>Clin. Chem.</w:t>
      </w:r>
      <w:r w:rsidRPr="007341DE">
        <w:rPr>
          <w:rFonts w:ascii="Arial" w:cs="Arial"/>
          <w:lang w:val="en-GB"/>
        </w:rPr>
        <w:t xml:space="preserve">, vol. 53, no. 9, pp. 1694–1699, Sep. 2007, </w:t>
      </w:r>
      <w:proofErr w:type="spellStart"/>
      <w:r w:rsidRPr="007341DE">
        <w:rPr>
          <w:rFonts w:ascii="Arial" w:cs="Arial"/>
          <w:lang w:val="en-GB"/>
        </w:rPr>
        <w:t>doi</w:t>
      </w:r>
      <w:proofErr w:type="spellEnd"/>
      <w:r w:rsidRPr="007341DE">
        <w:rPr>
          <w:rFonts w:ascii="Arial" w:cs="Arial"/>
          <w:lang w:val="en-GB"/>
        </w:rPr>
        <w:t>: 10.1373/clinchem.2007.090027.</w:t>
      </w:r>
    </w:p>
    <w:p w:rsidR="007341DE" w:rsidRPr="007341DE" w:rsidRDefault="007341DE" w:rsidP="007341DE">
      <w:pPr>
        <w:pStyle w:val="Bibliography"/>
        <w:rPr>
          <w:rFonts w:ascii="Arial" w:cs="Arial"/>
          <w:lang w:val="en-GB"/>
        </w:rPr>
      </w:pPr>
      <w:r w:rsidRPr="007341DE">
        <w:rPr>
          <w:rFonts w:ascii="Arial" w:cs="Arial"/>
          <w:lang w:val="en-GB"/>
        </w:rPr>
        <w:t>[4]</w:t>
      </w:r>
      <w:r w:rsidRPr="007341DE">
        <w:rPr>
          <w:rFonts w:ascii="Arial" w:cs="Arial"/>
          <w:lang w:val="en-GB"/>
        </w:rPr>
        <w:tab/>
        <w:t xml:space="preserve">H. </w:t>
      </w:r>
      <w:proofErr w:type="spellStart"/>
      <w:r w:rsidRPr="007341DE">
        <w:rPr>
          <w:rFonts w:ascii="Arial" w:cs="Arial"/>
          <w:lang w:val="en-GB"/>
        </w:rPr>
        <w:t>Pottel</w:t>
      </w:r>
      <w:proofErr w:type="spellEnd"/>
      <w:r w:rsidRPr="007341DE">
        <w:rPr>
          <w:rFonts w:ascii="Arial" w:cs="Arial"/>
          <w:lang w:val="en-GB"/>
        </w:rPr>
        <w:t xml:space="preserve"> </w:t>
      </w:r>
      <w:r w:rsidRPr="007341DE">
        <w:rPr>
          <w:rFonts w:ascii="Arial" w:cs="Arial"/>
          <w:i/>
          <w:iCs/>
          <w:lang w:val="en-GB"/>
        </w:rPr>
        <w:t>et al.</w:t>
      </w:r>
      <w:r w:rsidRPr="007341DE">
        <w:rPr>
          <w:rFonts w:ascii="Arial" w:cs="Arial"/>
          <w:lang w:val="en-GB"/>
        </w:rPr>
        <w:t xml:space="preserve">, ‘Standardization of serum creatinine is essential for accurate use of unbiased estimated GFR equations: evidence from three cohorts matched on renal function’, </w:t>
      </w:r>
      <w:r w:rsidRPr="007341DE">
        <w:rPr>
          <w:rFonts w:ascii="Arial" w:cs="Arial"/>
          <w:i/>
          <w:iCs/>
          <w:lang w:val="en-GB"/>
        </w:rPr>
        <w:t>Clin. Kidney J.</w:t>
      </w:r>
      <w:r w:rsidRPr="007341DE">
        <w:rPr>
          <w:rFonts w:ascii="Arial" w:cs="Arial"/>
          <w:lang w:val="en-GB"/>
        </w:rPr>
        <w:t xml:space="preserve">, vol. 15, no. 12, pp. 2258–2265, Dec. 2022, </w:t>
      </w:r>
      <w:proofErr w:type="spellStart"/>
      <w:r w:rsidRPr="007341DE">
        <w:rPr>
          <w:rFonts w:ascii="Arial" w:cs="Arial"/>
          <w:lang w:val="en-GB"/>
        </w:rPr>
        <w:t>doi</w:t>
      </w:r>
      <w:proofErr w:type="spellEnd"/>
      <w:r w:rsidRPr="007341DE">
        <w:rPr>
          <w:rFonts w:ascii="Arial" w:cs="Arial"/>
          <w:lang w:val="en-GB"/>
        </w:rPr>
        <w:t>: 10.1093/</w:t>
      </w:r>
      <w:proofErr w:type="spellStart"/>
      <w:r w:rsidRPr="007341DE">
        <w:rPr>
          <w:rFonts w:ascii="Arial" w:cs="Arial"/>
          <w:lang w:val="en-GB"/>
        </w:rPr>
        <w:t>ckj</w:t>
      </w:r>
      <w:proofErr w:type="spellEnd"/>
      <w:r w:rsidRPr="007341DE">
        <w:rPr>
          <w:rFonts w:ascii="Arial" w:cs="Arial"/>
          <w:lang w:val="en-GB"/>
        </w:rPr>
        <w:t>/sfac182.</w:t>
      </w:r>
    </w:p>
    <w:p w:rsidR="007341DE" w:rsidRPr="007341DE" w:rsidRDefault="007341DE" w:rsidP="007341DE">
      <w:pPr>
        <w:pStyle w:val="Bibliography"/>
        <w:rPr>
          <w:rFonts w:ascii="Arial" w:cs="Arial"/>
          <w:lang w:val="en-GB"/>
        </w:rPr>
      </w:pPr>
      <w:r w:rsidRPr="007341DE">
        <w:rPr>
          <w:rFonts w:ascii="Arial" w:cs="Arial"/>
          <w:lang w:val="en-GB"/>
        </w:rPr>
        <w:t>[5]</w:t>
      </w:r>
      <w:r w:rsidRPr="007341DE">
        <w:rPr>
          <w:rFonts w:ascii="Arial" w:cs="Arial"/>
          <w:lang w:val="en-GB"/>
        </w:rPr>
        <w:tab/>
        <w:t xml:space="preserve">‘About MIMIC’, </w:t>
      </w:r>
      <w:r w:rsidRPr="007341DE">
        <w:rPr>
          <w:rFonts w:ascii="Arial" w:cs="Arial"/>
          <w:i/>
          <w:iCs/>
          <w:lang w:val="en-GB"/>
        </w:rPr>
        <w:t>MIMIC</w:t>
      </w:r>
      <w:r w:rsidRPr="007341DE">
        <w:rPr>
          <w:rFonts w:ascii="Arial" w:cs="Arial"/>
          <w:lang w:val="en-GB"/>
        </w:rPr>
        <w:t>. https://mimic.mit.edu/docs/about/ (accessed May 24, 2023).</w:t>
      </w:r>
    </w:p>
    <w:p w:rsidR="007341DE" w:rsidRPr="007341DE" w:rsidRDefault="007341DE" w:rsidP="007341DE">
      <w:pPr>
        <w:pStyle w:val="Bibliography"/>
        <w:rPr>
          <w:rFonts w:ascii="Arial" w:cs="Arial"/>
          <w:lang w:val="en-GB"/>
        </w:rPr>
      </w:pPr>
      <w:r w:rsidRPr="007341DE">
        <w:rPr>
          <w:rFonts w:ascii="Arial" w:cs="Arial"/>
          <w:lang w:val="en-GB"/>
        </w:rPr>
        <w:t>[6]</w:t>
      </w:r>
      <w:r w:rsidRPr="007341DE">
        <w:rPr>
          <w:rFonts w:ascii="Arial" w:cs="Arial"/>
          <w:lang w:val="en-GB"/>
        </w:rPr>
        <w:tab/>
        <w:t xml:space="preserve">‘Cloud’, </w:t>
      </w:r>
      <w:r w:rsidRPr="007341DE">
        <w:rPr>
          <w:rFonts w:ascii="Arial" w:cs="Arial"/>
          <w:i/>
          <w:iCs/>
          <w:lang w:val="en-GB"/>
        </w:rPr>
        <w:t>MIMIC</w:t>
      </w:r>
      <w:r w:rsidRPr="007341DE">
        <w:rPr>
          <w:rFonts w:ascii="Arial" w:cs="Arial"/>
          <w:lang w:val="en-GB"/>
        </w:rPr>
        <w:t>. https://mimic.mit.edu/docs/gettingstarted/cloud/ (accessed May 24, 2023).</w:t>
      </w:r>
    </w:p>
    <w:p w:rsidR="007341DE" w:rsidRPr="007341DE" w:rsidRDefault="007341DE" w:rsidP="007341DE">
      <w:pPr>
        <w:pStyle w:val="Bibliography"/>
        <w:rPr>
          <w:rFonts w:ascii="Arial" w:cs="Arial"/>
          <w:lang w:val="en-GB"/>
        </w:rPr>
      </w:pPr>
      <w:r w:rsidRPr="007341DE">
        <w:rPr>
          <w:rFonts w:ascii="Arial" w:cs="Arial"/>
          <w:lang w:val="en-GB"/>
        </w:rPr>
        <w:t>[7]</w:t>
      </w:r>
      <w:r w:rsidRPr="007341DE">
        <w:rPr>
          <w:rFonts w:ascii="Arial" w:cs="Arial"/>
          <w:lang w:val="en-GB"/>
        </w:rPr>
        <w:tab/>
        <w:t xml:space="preserve">‘Local database setup’, </w:t>
      </w:r>
      <w:r w:rsidRPr="007341DE">
        <w:rPr>
          <w:rFonts w:ascii="Arial" w:cs="Arial"/>
          <w:i/>
          <w:iCs/>
          <w:lang w:val="en-GB"/>
        </w:rPr>
        <w:t>MIMIC</w:t>
      </w:r>
      <w:r w:rsidRPr="007341DE">
        <w:rPr>
          <w:rFonts w:ascii="Arial" w:cs="Arial"/>
          <w:lang w:val="en-GB"/>
        </w:rPr>
        <w:t>. https://mimic.mit.edu/docs/gettingstarted/local/ (accessed May 24, 2023).</w:t>
      </w:r>
    </w:p>
    <w:p w:rsidR="00135FD7" w:rsidRPr="00125FCF" w:rsidRDefault="00135FD7">
      <w:pPr>
        <w:rPr>
          <w:lang w:val="en-US"/>
        </w:rPr>
      </w:pPr>
      <w:r>
        <w:rPr>
          <w:lang w:val="en-US"/>
        </w:rPr>
        <w:fldChar w:fldCharType="end"/>
      </w:r>
    </w:p>
    <w:sectPr w:rsidR="00135FD7" w:rsidRPr="00125F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567C" w:rsidRDefault="00CF567C" w:rsidP="00086A8B">
      <w:pPr>
        <w:spacing w:after="0" w:line="240" w:lineRule="auto"/>
      </w:pPr>
      <w:r>
        <w:separator/>
      </w:r>
    </w:p>
  </w:endnote>
  <w:endnote w:type="continuationSeparator" w:id="0">
    <w:p w:rsidR="00CF567C" w:rsidRDefault="00CF567C" w:rsidP="0008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567C" w:rsidRDefault="00CF567C" w:rsidP="00086A8B">
      <w:pPr>
        <w:spacing w:after="0" w:line="240" w:lineRule="auto"/>
      </w:pPr>
      <w:r>
        <w:separator/>
      </w:r>
    </w:p>
  </w:footnote>
  <w:footnote w:type="continuationSeparator" w:id="0">
    <w:p w:rsidR="00CF567C" w:rsidRDefault="00CF567C" w:rsidP="00086A8B">
      <w:pPr>
        <w:spacing w:after="0" w:line="240" w:lineRule="auto"/>
      </w:pPr>
      <w:r>
        <w:continuationSeparator/>
      </w:r>
    </w:p>
  </w:footnote>
  <w:footnote w:id="1">
    <w:p w:rsidR="003722FC" w:rsidRPr="003722FC" w:rsidRDefault="00AC17AA" w:rsidP="003722FC">
      <w:pPr>
        <w:pStyle w:val="FootnoteText"/>
      </w:pPr>
      <w:r>
        <w:rPr>
          <w:rStyle w:val="FootnoteReference"/>
        </w:rPr>
        <w:footnoteRef/>
      </w:r>
      <w:r>
        <w:t xml:space="preserve"> </w:t>
      </w:r>
      <w:r w:rsidR="003722FC" w:rsidRPr="003722FC">
        <w:t>https://drive.google.com/file/d/1R_RTf9gSW9CxZMnw5xjPyk8NLDtpDk8B/view?usp=sharing</w:t>
      </w:r>
    </w:p>
  </w:footnote>
  <w:footnote w:id="2">
    <w:p w:rsidR="003722FC" w:rsidRPr="003722FC" w:rsidRDefault="003722FC">
      <w:pPr>
        <w:pStyle w:val="FootnoteText"/>
      </w:pPr>
      <w:r>
        <w:rPr>
          <w:rStyle w:val="FootnoteReference"/>
        </w:rPr>
        <w:footnoteRef/>
      </w:r>
      <w:r>
        <w:t xml:space="preserve"> </w:t>
      </w:r>
      <w:r w:rsidR="007560EA" w:rsidRPr="007560EA">
        <w:t>https://github.com/fdiamant/Thesis</w:t>
      </w:r>
    </w:p>
  </w:footnote>
  <w:footnote w:id="3">
    <w:p w:rsidR="00086A8B" w:rsidRPr="003722FC" w:rsidRDefault="00086A8B">
      <w:pPr>
        <w:pStyle w:val="FootnoteText"/>
      </w:pPr>
      <w:r>
        <w:rPr>
          <w:rStyle w:val="FootnoteReference"/>
        </w:rPr>
        <w:footnoteRef/>
      </w:r>
      <w:r>
        <w:t xml:space="preserve"> </w:t>
      </w:r>
      <w:r w:rsidRPr="00086A8B">
        <w:t>https://www.kidney.org/sites/default/files/01-10-8374_2212_patflyer_egfr.pdf</w:t>
      </w:r>
    </w:p>
  </w:footnote>
  <w:footnote w:id="4">
    <w:p w:rsidR="00086A8B" w:rsidRPr="00D25A3D" w:rsidRDefault="00086A8B">
      <w:pPr>
        <w:pStyle w:val="FootnoteText"/>
      </w:pPr>
      <w:r>
        <w:rPr>
          <w:rStyle w:val="FootnoteReference"/>
        </w:rPr>
        <w:footnoteRef/>
      </w:r>
      <w:r>
        <w:t xml:space="preserve"> </w:t>
      </w:r>
      <w:r w:rsidRPr="00086A8B">
        <w:t>https://www.kidney.org/sites/default/files/kidney-numbers_ckd-heatmap.pdf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C1188"/>
    <w:multiLevelType w:val="hybridMultilevel"/>
    <w:tmpl w:val="A72016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5516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FCF"/>
    <w:rsid w:val="0002495A"/>
    <w:rsid w:val="00061BF5"/>
    <w:rsid w:val="00066F76"/>
    <w:rsid w:val="00086A8B"/>
    <w:rsid w:val="000F7C63"/>
    <w:rsid w:val="00111907"/>
    <w:rsid w:val="0012302D"/>
    <w:rsid w:val="00125FCF"/>
    <w:rsid w:val="00135FD7"/>
    <w:rsid w:val="001A3089"/>
    <w:rsid w:val="001B6E89"/>
    <w:rsid w:val="001D4700"/>
    <w:rsid w:val="001E031F"/>
    <w:rsid w:val="00313B45"/>
    <w:rsid w:val="003512C7"/>
    <w:rsid w:val="00366647"/>
    <w:rsid w:val="003722FC"/>
    <w:rsid w:val="003E7E93"/>
    <w:rsid w:val="00406679"/>
    <w:rsid w:val="004509D5"/>
    <w:rsid w:val="00456897"/>
    <w:rsid w:val="00471F89"/>
    <w:rsid w:val="004A1E83"/>
    <w:rsid w:val="00506AC4"/>
    <w:rsid w:val="00521064"/>
    <w:rsid w:val="00544D7B"/>
    <w:rsid w:val="00545B1F"/>
    <w:rsid w:val="00555E98"/>
    <w:rsid w:val="00611ECE"/>
    <w:rsid w:val="00630E04"/>
    <w:rsid w:val="006E0866"/>
    <w:rsid w:val="006E3397"/>
    <w:rsid w:val="006E5865"/>
    <w:rsid w:val="006F78FD"/>
    <w:rsid w:val="0072448D"/>
    <w:rsid w:val="007341DE"/>
    <w:rsid w:val="007560EA"/>
    <w:rsid w:val="007C1CCB"/>
    <w:rsid w:val="00847179"/>
    <w:rsid w:val="00882ACC"/>
    <w:rsid w:val="00891FA6"/>
    <w:rsid w:val="008F656A"/>
    <w:rsid w:val="00901F0F"/>
    <w:rsid w:val="00906EE5"/>
    <w:rsid w:val="00954DDE"/>
    <w:rsid w:val="00977A47"/>
    <w:rsid w:val="00982A09"/>
    <w:rsid w:val="009B5EB7"/>
    <w:rsid w:val="009C38F0"/>
    <w:rsid w:val="00A276FF"/>
    <w:rsid w:val="00A331DF"/>
    <w:rsid w:val="00AA5AE2"/>
    <w:rsid w:val="00AB0E11"/>
    <w:rsid w:val="00AC17AA"/>
    <w:rsid w:val="00AD0CA7"/>
    <w:rsid w:val="00AE46C2"/>
    <w:rsid w:val="00AF2653"/>
    <w:rsid w:val="00B07280"/>
    <w:rsid w:val="00B402AE"/>
    <w:rsid w:val="00BA3E66"/>
    <w:rsid w:val="00BC4F50"/>
    <w:rsid w:val="00BF5205"/>
    <w:rsid w:val="00C13203"/>
    <w:rsid w:val="00C31DA0"/>
    <w:rsid w:val="00C40A57"/>
    <w:rsid w:val="00C455D8"/>
    <w:rsid w:val="00C52654"/>
    <w:rsid w:val="00C837EE"/>
    <w:rsid w:val="00CD2228"/>
    <w:rsid w:val="00CD4584"/>
    <w:rsid w:val="00CF567C"/>
    <w:rsid w:val="00D25A3D"/>
    <w:rsid w:val="00D47BEC"/>
    <w:rsid w:val="00E01687"/>
    <w:rsid w:val="00EB259E"/>
    <w:rsid w:val="00EB384E"/>
    <w:rsid w:val="00EE32D0"/>
    <w:rsid w:val="00F05D2C"/>
    <w:rsid w:val="00F16136"/>
    <w:rsid w:val="00F4246A"/>
    <w:rsid w:val="00F46858"/>
    <w:rsid w:val="00F515FE"/>
    <w:rsid w:val="00F6358E"/>
    <w:rsid w:val="00FB1897"/>
    <w:rsid w:val="00FB2AB1"/>
    <w:rsid w:val="00FC3036"/>
    <w:rsid w:val="00FF77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D1D7"/>
  <w15:chartTrackingRefBased/>
  <w15:docId w15:val="{B206B345-9121-9444-A8C8-2604E7BB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R"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FD7"/>
    <w:pPr>
      <w:spacing w:line="360" w:lineRule="auto"/>
      <w:jc w:val="both"/>
    </w:pPr>
  </w:style>
  <w:style w:type="paragraph" w:styleId="Heading1">
    <w:name w:val="heading 1"/>
    <w:basedOn w:val="Normal"/>
    <w:next w:val="Normal"/>
    <w:link w:val="Heading1Char"/>
    <w:uiPriority w:val="9"/>
    <w:qFormat/>
    <w:rsid w:val="00C31DA0"/>
    <w:pPr>
      <w:spacing w:before="600" w:after="0"/>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31DA0"/>
    <w:pPr>
      <w:spacing w:before="320" w:after="0"/>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31DA0"/>
    <w:pPr>
      <w:spacing w:before="320" w:after="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31DA0"/>
    <w:pPr>
      <w:spacing w:before="280" w:after="0"/>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31DA0"/>
    <w:pPr>
      <w:spacing w:before="280" w:after="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31DA0"/>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31DA0"/>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31DA0"/>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31DA0"/>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AE46C2"/>
    <w:rPr>
      <w:b w:val="0"/>
      <w:caps/>
      <w:color w:val="000000"/>
      <w:sz w:val="28"/>
      <w:szCs w:val="28"/>
    </w:rPr>
  </w:style>
  <w:style w:type="paragraph" w:styleId="Title">
    <w:name w:val="Title"/>
    <w:basedOn w:val="Normal"/>
    <w:next w:val="Normal"/>
    <w:link w:val="TitleChar"/>
    <w:uiPriority w:val="10"/>
    <w:qFormat/>
    <w:rsid w:val="00C31DA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31DA0"/>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9"/>
    <w:rsid w:val="00C31DA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C31DA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31DA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31DA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31DA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31DA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31DA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31DA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31DA0"/>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31DA0"/>
    <w:rPr>
      <w:b/>
      <w:bCs/>
      <w:sz w:val="18"/>
      <w:szCs w:val="18"/>
    </w:rPr>
  </w:style>
  <w:style w:type="paragraph" w:styleId="BodyText">
    <w:name w:val="Body Text"/>
    <w:basedOn w:val="Normal"/>
    <w:link w:val="BodyTextChar"/>
    <w:rsid w:val="00AE46C2"/>
    <w:rPr>
      <w:rFonts w:eastAsia="Times New Roman" w:cs="Times New Roman"/>
      <w:szCs w:val="24"/>
      <w:lang w:eastAsia="sv-SE"/>
    </w:rPr>
  </w:style>
  <w:style w:type="character" w:customStyle="1" w:styleId="BodyTextChar">
    <w:name w:val="Body Text Char"/>
    <w:basedOn w:val="DefaultParagraphFont"/>
    <w:link w:val="BodyText"/>
    <w:rsid w:val="00AE46C2"/>
    <w:rPr>
      <w:rFonts w:eastAsia="Times New Roman" w:cs="Times New Roman"/>
      <w:szCs w:val="24"/>
      <w:lang w:eastAsia="sv-SE"/>
    </w:rPr>
  </w:style>
  <w:style w:type="paragraph" w:styleId="Subtitle">
    <w:name w:val="Subtitle"/>
    <w:basedOn w:val="Normal"/>
    <w:next w:val="Normal"/>
    <w:link w:val="SubtitleChar"/>
    <w:uiPriority w:val="11"/>
    <w:qFormat/>
    <w:rsid w:val="00C31DA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31DA0"/>
    <w:rPr>
      <w:i/>
      <w:iCs/>
      <w:color w:val="808080" w:themeColor="text1" w:themeTint="7F"/>
      <w:spacing w:val="10"/>
      <w:sz w:val="24"/>
      <w:szCs w:val="24"/>
    </w:rPr>
  </w:style>
  <w:style w:type="character" w:styleId="Strong">
    <w:name w:val="Strong"/>
    <w:basedOn w:val="DefaultParagraphFont"/>
    <w:uiPriority w:val="22"/>
    <w:qFormat/>
    <w:rsid w:val="00C31DA0"/>
    <w:rPr>
      <w:b/>
      <w:bCs/>
      <w:spacing w:val="0"/>
    </w:rPr>
  </w:style>
  <w:style w:type="character" w:styleId="Emphasis">
    <w:name w:val="Emphasis"/>
    <w:uiPriority w:val="20"/>
    <w:qFormat/>
    <w:rsid w:val="00C31DA0"/>
    <w:rPr>
      <w:b/>
      <w:bCs/>
      <w:i/>
      <w:iCs/>
      <w:color w:val="auto"/>
    </w:rPr>
  </w:style>
  <w:style w:type="paragraph" w:styleId="NoSpacing">
    <w:name w:val="No Spacing"/>
    <w:basedOn w:val="Normal"/>
    <w:link w:val="NoSpacingChar"/>
    <w:uiPriority w:val="1"/>
    <w:qFormat/>
    <w:rsid w:val="00C31DA0"/>
    <w:pPr>
      <w:spacing w:after="0" w:line="240" w:lineRule="auto"/>
      <w:ind w:firstLine="0"/>
    </w:pPr>
  </w:style>
  <w:style w:type="character" w:customStyle="1" w:styleId="NoSpacingChar">
    <w:name w:val="No Spacing Char"/>
    <w:basedOn w:val="DefaultParagraphFont"/>
    <w:link w:val="NoSpacing"/>
    <w:uiPriority w:val="1"/>
    <w:rsid w:val="00EB259E"/>
  </w:style>
  <w:style w:type="paragraph" w:styleId="ListParagraph">
    <w:name w:val="List Paragraph"/>
    <w:basedOn w:val="Normal"/>
    <w:uiPriority w:val="34"/>
    <w:qFormat/>
    <w:rsid w:val="00C31DA0"/>
    <w:pPr>
      <w:ind w:left="720"/>
      <w:contextualSpacing/>
    </w:pPr>
  </w:style>
  <w:style w:type="paragraph" w:styleId="Quote">
    <w:name w:val="Quote"/>
    <w:basedOn w:val="Normal"/>
    <w:next w:val="Normal"/>
    <w:link w:val="QuoteChar"/>
    <w:uiPriority w:val="29"/>
    <w:qFormat/>
    <w:rsid w:val="00C31DA0"/>
    <w:rPr>
      <w:color w:val="5A5A5A" w:themeColor="text1" w:themeTint="A5"/>
    </w:rPr>
  </w:style>
  <w:style w:type="character" w:customStyle="1" w:styleId="QuoteChar">
    <w:name w:val="Quote Char"/>
    <w:basedOn w:val="DefaultParagraphFont"/>
    <w:link w:val="Quote"/>
    <w:uiPriority w:val="29"/>
    <w:rsid w:val="00C31DA0"/>
    <w:rPr>
      <w:color w:val="5A5A5A" w:themeColor="text1" w:themeTint="A5"/>
    </w:rPr>
  </w:style>
  <w:style w:type="paragraph" w:styleId="IntenseQuote">
    <w:name w:val="Intense Quote"/>
    <w:basedOn w:val="Normal"/>
    <w:next w:val="Normal"/>
    <w:link w:val="IntenseQuoteChar"/>
    <w:uiPriority w:val="30"/>
    <w:qFormat/>
    <w:rsid w:val="00C31DA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31DA0"/>
    <w:rPr>
      <w:rFonts w:asciiTheme="majorHAnsi" w:eastAsiaTheme="majorEastAsia" w:hAnsiTheme="majorHAnsi" w:cstheme="majorBidi"/>
      <w:i/>
      <w:iCs/>
      <w:sz w:val="20"/>
      <w:szCs w:val="20"/>
    </w:rPr>
  </w:style>
  <w:style w:type="character" w:styleId="SubtleEmphasis">
    <w:name w:val="Subtle Emphasis"/>
    <w:uiPriority w:val="19"/>
    <w:qFormat/>
    <w:rsid w:val="00C31DA0"/>
    <w:rPr>
      <w:i/>
      <w:iCs/>
      <w:color w:val="5A5A5A" w:themeColor="text1" w:themeTint="A5"/>
    </w:rPr>
  </w:style>
  <w:style w:type="character" w:styleId="IntenseEmphasis">
    <w:name w:val="Intense Emphasis"/>
    <w:uiPriority w:val="21"/>
    <w:qFormat/>
    <w:rsid w:val="00C31DA0"/>
    <w:rPr>
      <w:b/>
      <w:bCs/>
      <w:i/>
      <w:iCs/>
      <w:color w:val="auto"/>
      <w:u w:val="single"/>
    </w:rPr>
  </w:style>
  <w:style w:type="character" w:styleId="SubtleReference">
    <w:name w:val="Subtle Reference"/>
    <w:uiPriority w:val="31"/>
    <w:qFormat/>
    <w:rsid w:val="00C31DA0"/>
    <w:rPr>
      <w:smallCaps/>
    </w:rPr>
  </w:style>
  <w:style w:type="character" w:styleId="IntenseReference">
    <w:name w:val="Intense Reference"/>
    <w:uiPriority w:val="32"/>
    <w:qFormat/>
    <w:rsid w:val="00C31DA0"/>
    <w:rPr>
      <w:b/>
      <w:bCs/>
      <w:smallCaps/>
      <w:color w:val="auto"/>
    </w:rPr>
  </w:style>
  <w:style w:type="character" w:styleId="BookTitle">
    <w:name w:val="Book Title"/>
    <w:uiPriority w:val="33"/>
    <w:qFormat/>
    <w:rsid w:val="00C31DA0"/>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C31DA0"/>
    <w:pPr>
      <w:outlineLvl w:val="9"/>
    </w:pPr>
  </w:style>
  <w:style w:type="paragraph" w:styleId="Bibliography">
    <w:name w:val="Bibliography"/>
    <w:basedOn w:val="Normal"/>
    <w:next w:val="Normal"/>
    <w:uiPriority w:val="37"/>
    <w:unhideWhenUsed/>
    <w:rsid w:val="00135FD7"/>
    <w:pPr>
      <w:tabs>
        <w:tab w:val="left" w:pos="380"/>
      </w:tabs>
      <w:spacing w:after="0" w:line="240" w:lineRule="auto"/>
      <w:ind w:left="384" w:hanging="384"/>
    </w:pPr>
  </w:style>
  <w:style w:type="character" w:styleId="PlaceholderText">
    <w:name w:val="Placeholder Text"/>
    <w:basedOn w:val="DefaultParagraphFont"/>
    <w:uiPriority w:val="99"/>
    <w:semiHidden/>
    <w:rsid w:val="00A276FF"/>
    <w:rPr>
      <w:color w:val="808080"/>
    </w:rPr>
  </w:style>
  <w:style w:type="paragraph" w:styleId="Header">
    <w:name w:val="header"/>
    <w:basedOn w:val="Normal"/>
    <w:link w:val="HeaderChar"/>
    <w:uiPriority w:val="99"/>
    <w:unhideWhenUsed/>
    <w:rsid w:val="00086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A8B"/>
  </w:style>
  <w:style w:type="paragraph" w:styleId="Footer">
    <w:name w:val="footer"/>
    <w:basedOn w:val="Normal"/>
    <w:link w:val="FooterChar"/>
    <w:uiPriority w:val="99"/>
    <w:unhideWhenUsed/>
    <w:rsid w:val="00086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A8B"/>
  </w:style>
  <w:style w:type="paragraph" w:styleId="FootnoteText">
    <w:name w:val="footnote text"/>
    <w:basedOn w:val="Normal"/>
    <w:link w:val="FootnoteTextChar"/>
    <w:uiPriority w:val="99"/>
    <w:semiHidden/>
    <w:unhideWhenUsed/>
    <w:rsid w:val="00086A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6A8B"/>
    <w:rPr>
      <w:sz w:val="20"/>
      <w:szCs w:val="20"/>
    </w:rPr>
  </w:style>
  <w:style w:type="character" w:styleId="FootnoteReference">
    <w:name w:val="footnote reference"/>
    <w:basedOn w:val="DefaultParagraphFont"/>
    <w:uiPriority w:val="99"/>
    <w:semiHidden/>
    <w:unhideWhenUsed/>
    <w:rsid w:val="00086A8B"/>
    <w:rPr>
      <w:vertAlign w:val="superscript"/>
    </w:rPr>
  </w:style>
  <w:style w:type="character" w:styleId="Hyperlink">
    <w:name w:val="Hyperlink"/>
    <w:basedOn w:val="DefaultParagraphFont"/>
    <w:uiPriority w:val="99"/>
    <w:unhideWhenUsed/>
    <w:rsid w:val="003722FC"/>
    <w:rPr>
      <w:color w:val="5F5F5F" w:themeColor="hyperlink"/>
      <w:u w:val="single"/>
    </w:rPr>
  </w:style>
  <w:style w:type="character" w:styleId="UnresolvedMention">
    <w:name w:val="Unresolved Mention"/>
    <w:basedOn w:val="DefaultParagraphFont"/>
    <w:uiPriority w:val="99"/>
    <w:semiHidden/>
    <w:unhideWhenUsed/>
    <w:rsid w:val="003722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842496">
      <w:bodyDiv w:val="1"/>
      <w:marLeft w:val="0"/>
      <w:marRight w:val="0"/>
      <w:marTop w:val="0"/>
      <w:marBottom w:val="0"/>
      <w:divBdr>
        <w:top w:val="none" w:sz="0" w:space="0" w:color="auto"/>
        <w:left w:val="none" w:sz="0" w:space="0" w:color="auto"/>
        <w:bottom w:val="none" w:sz="0" w:space="0" w:color="auto"/>
        <w:right w:val="none" w:sz="0" w:space="0" w:color="auto"/>
      </w:divBdr>
      <w:divsChild>
        <w:div w:id="1642415989">
          <w:marLeft w:val="0"/>
          <w:marRight w:val="0"/>
          <w:marTop w:val="0"/>
          <w:marBottom w:val="0"/>
          <w:divBdr>
            <w:top w:val="single" w:sz="2" w:space="0" w:color="D9D9E3"/>
            <w:left w:val="single" w:sz="2" w:space="0" w:color="D9D9E3"/>
            <w:bottom w:val="single" w:sz="2" w:space="0" w:color="D9D9E3"/>
            <w:right w:val="single" w:sz="2" w:space="0" w:color="D9D9E3"/>
          </w:divBdr>
          <w:divsChild>
            <w:div w:id="2137946216">
              <w:marLeft w:val="0"/>
              <w:marRight w:val="0"/>
              <w:marTop w:val="0"/>
              <w:marBottom w:val="0"/>
              <w:divBdr>
                <w:top w:val="single" w:sz="2" w:space="0" w:color="D9D9E3"/>
                <w:left w:val="single" w:sz="2" w:space="0" w:color="D9D9E3"/>
                <w:bottom w:val="single" w:sz="2" w:space="0" w:color="D9D9E3"/>
                <w:right w:val="single" w:sz="2" w:space="0" w:color="D9D9E3"/>
              </w:divBdr>
              <w:divsChild>
                <w:div w:id="712730164">
                  <w:marLeft w:val="0"/>
                  <w:marRight w:val="0"/>
                  <w:marTop w:val="0"/>
                  <w:marBottom w:val="0"/>
                  <w:divBdr>
                    <w:top w:val="single" w:sz="2" w:space="0" w:color="D9D9E3"/>
                    <w:left w:val="single" w:sz="2" w:space="0" w:color="D9D9E3"/>
                    <w:bottom w:val="single" w:sz="2" w:space="0" w:color="D9D9E3"/>
                    <w:right w:val="single" w:sz="2" w:space="0" w:color="D9D9E3"/>
                  </w:divBdr>
                  <w:divsChild>
                    <w:div w:id="2017725699">
                      <w:marLeft w:val="0"/>
                      <w:marRight w:val="0"/>
                      <w:marTop w:val="0"/>
                      <w:marBottom w:val="0"/>
                      <w:divBdr>
                        <w:top w:val="single" w:sz="2" w:space="0" w:color="D9D9E3"/>
                        <w:left w:val="single" w:sz="2" w:space="0" w:color="D9D9E3"/>
                        <w:bottom w:val="single" w:sz="2" w:space="0" w:color="D9D9E3"/>
                        <w:right w:val="single" w:sz="2" w:space="0" w:color="D9D9E3"/>
                      </w:divBdr>
                      <w:divsChild>
                        <w:div w:id="1700205576">
                          <w:marLeft w:val="0"/>
                          <w:marRight w:val="0"/>
                          <w:marTop w:val="0"/>
                          <w:marBottom w:val="0"/>
                          <w:divBdr>
                            <w:top w:val="single" w:sz="2" w:space="0" w:color="auto"/>
                            <w:left w:val="single" w:sz="2" w:space="0" w:color="auto"/>
                            <w:bottom w:val="single" w:sz="6" w:space="0" w:color="auto"/>
                            <w:right w:val="single" w:sz="2" w:space="0" w:color="auto"/>
                          </w:divBdr>
                          <w:divsChild>
                            <w:div w:id="1474982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626138">
                                  <w:marLeft w:val="0"/>
                                  <w:marRight w:val="0"/>
                                  <w:marTop w:val="0"/>
                                  <w:marBottom w:val="0"/>
                                  <w:divBdr>
                                    <w:top w:val="single" w:sz="2" w:space="0" w:color="D9D9E3"/>
                                    <w:left w:val="single" w:sz="2" w:space="0" w:color="D9D9E3"/>
                                    <w:bottom w:val="single" w:sz="2" w:space="0" w:color="D9D9E3"/>
                                    <w:right w:val="single" w:sz="2" w:space="0" w:color="D9D9E3"/>
                                  </w:divBdr>
                                  <w:divsChild>
                                    <w:div w:id="1736855907">
                                      <w:marLeft w:val="0"/>
                                      <w:marRight w:val="0"/>
                                      <w:marTop w:val="0"/>
                                      <w:marBottom w:val="0"/>
                                      <w:divBdr>
                                        <w:top w:val="single" w:sz="2" w:space="0" w:color="D9D9E3"/>
                                        <w:left w:val="single" w:sz="2" w:space="0" w:color="D9D9E3"/>
                                        <w:bottom w:val="single" w:sz="2" w:space="0" w:color="D9D9E3"/>
                                        <w:right w:val="single" w:sz="2" w:space="0" w:color="D9D9E3"/>
                                      </w:divBdr>
                                      <w:divsChild>
                                        <w:div w:id="778137487">
                                          <w:marLeft w:val="0"/>
                                          <w:marRight w:val="0"/>
                                          <w:marTop w:val="0"/>
                                          <w:marBottom w:val="0"/>
                                          <w:divBdr>
                                            <w:top w:val="single" w:sz="2" w:space="0" w:color="D9D9E3"/>
                                            <w:left w:val="single" w:sz="2" w:space="0" w:color="D9D9E3"/>
                                            <w:bottom w:val="single" w:sz="2" w:space="0" w:color="D9D9E3"/>
                                            <w:right w:val="single" w:sz="2" w:space="0" w:color="D9D9E3"/>
                                          </w:divBdr>
                                          <w:divsChild>
                                            <w:div w:id="98632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327930">
          <w:marLeft w:val="0"/>
          <w:marRight w:val="0"/>
          <w:marTop w:val="0"/>
          <w:marBottom w:val="0"/>
          <w:divBdr>
            <w:top w:val="none" w:sz="0" w:space="0" w:color="auto"/>
            <w:left w:val="none" w:sz="0" w:space="0" w:color="auto"/>
            <w:bottom w:val="none" w:sz="0" w:space="0" w:color="auto"/>
            <w:right w:val="none" w:sz="0" w:space="0" w:color="auto"/>
          </w:divBdr>
        </w:div>
      </w:divsChild>
    </w:div>
    <w:div w:id="1836720492">
      <w:bodyDiv w:val="1"/>
      <w:marLeft w:val="0"/>
      <w:marRight w:val="0"/>
      <w:marTop w:val="0"/>
      <w:marBottom w:val="0"/>
      <w:divBdr>
        <w:top w:val="none" w:sz="0" w:space="0" w:color="auto"/>
        <w:left w:val="none" w:sz="0" w:space="0" w:color="auto"/>
        <w:bottom w:val="none" w:sz="0" w:space="0" w:color="auto"/>
        <w:right w:val="none" w:sz="0" w:space="0" w:color="auto"/>
      </w:divBdr>
      <w:divsChild>
        <w:div w:id="958726510">
          <w:marLeft w:val="0"/>
          <w:marRight w:val="0"/>
          <w:marTop w:val="0"/>
          <w:marBottom w:val="0"/>
          <w:divBdr>
            <w:top w:val="single" w:sz="2" w:space="0" w:color="D9D9E3"/>
            <w:left w:val="single" w:sz="2" w:space="0" w:color="D9D9E3"/>
            <w:bottom w:val="single" w:sz="2" w:space="0" w:color="D9D9E3"/>
            <w:right w:val="single" w:sz="2" w:space="0" w:color="D9D9E3"/>
          </w:divBdr>
          <w:divsChild>
            <w:div w:id="721101334">
              <w:marLeft w:val="0"/>
              <w:marRight w:val="0"/>
              <w:marTop w:val="0"/>
              <w:marBottom w:val="0"/>
              <w:divBdr>
                <w:top w:val="single" w:sz="2" w:space="0" w:color="D9D9E3"/>
                <w:left w:val="single" w:sz="2" w:space="0" w:color="D9D9E3"/>
                <w:bottom w:val="single" w:sz="2" w:space="0" w:color="D9D9E3"/>
                <w:right w:val="single" w:sz="2" w:space="0" w:color="D9D9E3"/>
              </w:divBdr>
              <w:divsChild>
                <w:div w:id="321201132">
                  <w:marLeft w:val="0"/>
                  <w:marRight w:val="0"/>
                  <w:marTop w:val="0"/>
                  <w:marBottom w:val="0"/>
                  <w:divBdr>
                    <w:top w:val="single" w:sz="2" w:space="0" w:color="D9D9E3"/>
                    <w:left w:val="single" w:sz="2" w:space="0" w:color="D9D9E3"/>
                    <w:bottom w:val="single" w:sz="2" w:space="0" w:color="D9D9E3"/>
                    <w:right w:val="single" w:sz="2" w:space="0" w:color="D9D9E3"/>
                  </w:divBdr>
                  <w:divsChild>
                    <w:div w:id="1668552165">
                      <w:marLeft w:val="0"/>
                      <w:marRight w:val="0"/>
                      <w:marTop w:val="0"/>
                      <w:marBottom w:val="0"/>
                      <w:divBdr>
                        <w:top w:val="single" w:sz="2" w:space="0" w:color="D9D9E3"/>
                        <w:left w:val="single" w:sz="2" w:space="0" w:color="D9D9E3"/>
                        <w:bottom w:val="single" w:sz="2" w:space="0" w:color="D9D9E3"/>
                        <w:right w:val="single" w:sz="2" w:space="0" w:color="D9D9E3"/>
                      </w:divBdr>
                      <w:divsChild>
                        <w:div w:id="37244783">
                          <w:marLeft w:val="0"/>
                          <w:marRight w:val="0"/>
                          <w:marTop w:val="0"/>
                          <w:marBottom w:val="0"/>
                          <w:divBdr>
                            <w:top w:val="single" w:sz="2" w:space="0" w:color="auto"/>
                            <w:left w:val="single" w:sz="2" w:space="0" w:color="auto"/>
                            <w:bottom w:val="single" w:sz="6" w:space="0" w:color="auto"/>
                            <w:right w:val="single" w:sz="2" w:space="0" w:color="auto"/>
                          </w:divBdr>
                          <w:divsChild>
                            <w:div w:id="440757759">
                              <w:marLeft w:val="0"/>
                              <w:marRight w:val="0"/>
                              <w:marTop w:val="100"/>
                              <w:marBottom w:val="100"/>
                              <w:divBdr>
                                <w:top w:val="single" w:sz="2" w:space="0" w:color="D9D9E3"/>
                                <w:left w:val="single" w:sz="2" w:space="0" w:color="D9D9E3"/>
                                <w:bottom w:val="single" w:sz="2" w:space="0" w:color="D9D9E3"/>
                                <w:right w:val="single" w:sz="2" w:space="0" w:color="D9D9E3"/>
                              </w:divBdr>
                              <w:divsChild>
                                <w:div w:id="6955094">
                                  <w:marLeft w:val="0"/>
                                  <w:marRight w:val="0"/>
                                  <w:marTop w:val="0"/>
                                  <w:marBottom w:val="0"/>
                                  <w:divBdr>
                                    <w:top w:val="single" w:sz="2" w:space="0" w:color="D9D9E3"/>
                                    <w:left w:val="single" w:sz="2" w:space="0" w:color="D9D9E3"/>
                                    <w:bottom w:val="single" w:sz="2" w:space="0" w:color="D9D9E3"/>
                                    <w:right w:val="single" w:sz="2" w:space="0" w:color="D9D9E3"/>
                                  </w:divBdr>
                                  <w:divsChild>
                                    <w:div w:id="1630892684">
                                      <w:marLeft w:val="0"/>
                                      <w:marRight w:val="0"/>
                                      <w:marTop w:val="0"/>
                                      <w:marBottom w:val="0"/>
                                      <w:divBdr>
                                        <w:top w:val="single" w:sz="2" w:space="0" w:color="D9D9E3"/>
                                        <w:left w:val="single" w:sz="2" w:space="0" w:color="D9D9E3"/>
                                        <w:bottom w:val="single" w:sz="2" w:space="0" w:color="D9D9E3"/>
                                        <w:right w:val="single" w:sz="2" w:space="0" w:color="D9D9E3"/>
                                      </w:divBdr>
                                      <w:divsChild>
                                        <w:div w:id="583344950">
                                          <w:marLeft w:val="0"/>
                                          <w:marRight w:val="0"/>
                                          <w:marTop w:val="0"/>
                                          <w:marBottom w:val="0"/>
                                          <w:divBdr>
                                            <w:top w:val="single" w:sz="2" w:space="0" w:color="D9D9E3"/>
                                            <w:left w:val="single" w:sz="2" w:space="0" w:color="D9D9E3"/>
                                            <w:bottom w:val="single" w:sz="2" w:space="0" w:color="D9D9E3"/>
                                            <w:right w:val="single" w:sz="2" w:space="0" w:color="D9D9E3"/>
                                          </w:divBdr>
                                          <w:divsChild>
                                            <w:div w:id="1869365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0819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ionet.org/about/citi-cour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itiprogram.org/verify/?wf6b514f4-d64e-4448-96bb-977173e0a3b1-47385825" TargetMode="External"/><Relationship Id="rId4" Type="http://schemas.openxmlformats.org/officeDocument/2006/relationships/settings" Target="settings.xml"/><Relationship Id="rId9" Type="http://schemas.openxmlformats.org/officeDocument/2006/relationships/hyperlink" Target="https://physionet.org/" TargetMode="External"/></Relationships>
</file>

<file path=word/theme/theme1.xml><?xml version="1.0" encoding="utf-8"?>
<a:theme xmlns:a="http://schemas.openxmlformats.org/drawingml/2006/main" name="Berlin">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448DA-5403-8B45-8F98-480DEE13C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Fotios Diamantopoulos</dc:creator>
  <cp:keywords/>
  <dc:description/>
  <cp:lastModifiedBy>Fotios Diamantopoulos</cp:lastModifiedBy>
  <cp:revision>21</cp:revision>
  <dcterms:created xsi:type="dcterms:W3CDTF">2023-05-19T07:40:00Z</dcterms:created>
  <dcterms:modified xsi:type="dcterms:W3CDTF">2023-05-24T08:37:00Z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id="G8vtpMd5"/&gt;&lt;style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