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aps/>
          <w:color w:val="6E6559"/>
          <w:spacing w:val="20"/>
          <w:sz w:val="20"/>
          <w:szCs w:val="20"/>
        </w:rPr>
        <w:t xml:space="preserve">Documentación técnica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A211C"/>
          <w:sz w:val="34"/>
          <w:szCs w:val="34"/>
        </w:rPr>
        <w:t xml:space="preserve">“No cosecha” en la región pampeana: cereales y oleaginosas según el INDEC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E463D"/>
          <w:sz w:val="23"/>
          <w:szCs w:val="23"/>
        </w:rPr>
        <w:t xml:space="preserve">Explicación del código HTML/JavaScript del dashboard interactivo — para revisión docente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A211C"/>
          <w:sz w:val="23"/>
          <w:szCs w:val="23"/>
        </w:rPr>
        <w:t xml:space="preserve">Estudiante: Fernando Di Ciancio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Este documento explica, bloque por bloque, la estructura del archivo HTML que genera el dashboard “No cosecha en la región pampeana”. El dashboard visualiza, a partir de la base estadística depurada y unificada del Censo Nacional Agropecuario (INDEC), las explotaciones agropecuarias (EAP) de Buenos Aires, Córdoba y Santa Fe que declararon no haber cosechado, desagregadas por motivo (sequía, inundación, granizo, incendio y bajo rendimiento), cultivo y departamento/partido, con un mapa interactivo sobre Argenmap (IGN).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objetivo de este anexo es que el código —un único archivo .html autocontenido, sin backend— pueda entenderse como parte del trabajo: qué hace cada sección, por qué existe y cómo se conecta con los datos y con los objetivos del panel.</w:t>
      </w:r>
    </w:p>
    <w:p>
      <w:pPr>
        <w:pStyle w:val="Heading1"/>
        <w:spacing w:after="160" w:before="320"/>
      </w:pPr>
      <w:r>
        <w:t xml:space="preserve">1. Estructura general del archivo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dashboard es un único archivo HTML que combina cuatro capas: la interfaz visual (HTML/CSS), los datos ya procesados (JSON embebido), la lógica de filtrado y renderizado (JavaScript) y dos librerías externas opcionales (Chart.js para los gráficos y Leaflet para el mapa). No requiere servidor: se abre directamente en el navegador.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3B2F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800"/>
            <w:shd w:fill="3B2F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Metadatos, tipografías (Google Fonts) y todo el CSS — incluye el CSS de Leaflet incrustado, para que el mapa no dependa de una carga externa.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Título, subtítulo, los 5 pictogramas de motivos y la línea de fuente/estado del panel.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.filters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Barra fija con los controles: provincia, grupo (cereales/oleaginosas), cultivo, chips de motivos y buscador de departamento.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Las tarjetas de contenido: KPIs, los 4 gráficos, el mapa interactivo y el “mapa de parcelas” (tabla-heatmap por departamento).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Créditos, fuentes de datos y aclaración de depuración de la base.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&lt;script type="application/json"&gt;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Cuatro bloques con los datos ya agregados en Python, embebidos como texto para que el JavaScript los lea sin pedirlos a un servidor.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&lt;script&gt; (JS)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7"/>
                <w:sz w:val="20"/>
                <w:szCs w:val="20"/>
              </w:rPr>
              <w:t xml:space="preserve">Toda la lógica: estado de filtros, cálculo de agregados, dibujo de gráficos/mapa y manejo de errores de carga.</w:t>
            </w:r>
          </w:p>
        </w:tc>
      </w:tr>
    </w:tbl>
    <w:p>
      <w:pPr>
        <w:pStyle w:val="Heading1"/>
        <w:spacing w:after="160" w:before="320"/>
      </w:pPr>
      <w:r>
        <w:t xml:space="preserve">2. Los datos: cuatro bloques JSON embebidos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Los datos no se calculan en el navegador: se procesaron antes en Python (a partir de la base unificada del INDEC) y se insertaron ya agregados, en cuatro bloques: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dashboard-data — </w:t>
      </w:r>
      <w:r>
        <w:rPr>
          <w:rFonts w:ascii="Calibri" w:cs="Calibri" w:eastAsia="Calibri" w:hAnsi="Calibri"/>
          <w:sz w:val="22"/>
          <w:szCs w:val="22"/>
        </w:rPr>
        <w:t xml:space="preserve">estadísticas por provincia, grupo, cultivo, motivo y departamento (incluye las cifras bajo secreto estadístico, marcadas aparte).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geo-data — </w:t>
      </w:r>
      <w:r>
        <w:rPr>
          <w:rFonts w:ascii="Calibri" w:cs="Calibri" w:eastAsia="Calibri" w:hAnsi="Calibri"/>
          <w:sz w:val="22"/>
          <w:szCs w:val="22"/>
        </w:rPr>
        <w:t xml:space="preserve">los polígonos de las 3 provincias (simplificados a partir del shapefile del IGN), para pintar el mapa.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lines-data — </w:t>
      </w:r>
      <w:r>
        <w:rPr>
          <w:rFonts w:ascii="Calibri" w:cs="Calibri" w:eastAsia="Calibri" w:hAnsi="Calibri"/>
          <w:sz w:val="22"/>
          <w:szCs w:val="22"/>
        </w:rPr>
        <w:t xml:space="preserve">las líneas de límite de partido/departamento (también del IGN), como referencia visual sobre el mapa.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markers-data — </w:t>
      </w:r>
      <w:r>
        <w:rPr>
          <w:rFonts w:ascii="Calibri" w:cs="Calibri" w:eastAsia="Calibri" w:hAnsi="Calibri"/>
          <w:sz w:val="22"/>
          <w:szCs w:val="22"/>
        </w:rPr>
        <w:t xml:space="preserve">el centroide de cada uno de los 180 partidos/departamentos, con su EAP total y motivo principal, para los círculos del mapa.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Esta separación entre “procesar” (Python, una sola vez) y “mostrar” (JavaScript, en el navegador) es lo que permite que el panel funcione sin conexión a un servidor de datos.</w:t>
      </w:r>
    </w:p>
    <w:p>
      <w:pPr>
        <w:pStyle w:val="Heading1"/>
        <w:spacing w:after="160" w:before="320"/>
      </w:pPr>
      <w:r>
        <w:t xml:space="preserve">3. Lógica de JavaScript, en el orden en que se ejecuta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Todo el comportamiento interactivo vive dentro de una única función autoejecutable (IIFE) al final del archivo. Se organiza en los siguientes pasos:</w:t>
      </w:r>
    </w:p>
    <w:p>
      <w:pPr>
        <w:pStyle w:val="Heading2"/>
        <w:spacing w:after="120" w:before="260"/>
      </w:pPr>
      <w:r>
        <w:t xml:space="preserve">3.1 Carga de datos y colores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 arrancar, el script lee los 4 bloques JSON (JSON.parse) y define los colores de cada motivo, grupo y provincia a partir de las variables CSS ya declaradas en el &lt;head&gt;.</w:t>
      </w:r>
    </w:p>
    <w:p>
      <w:pPr>
        <w:pStyle w:val="Heading2"/>
        <w:spacing w:after="120" w:before="260"/>
      </w:pPr>
      <w:r>
        <w:t xml:space="preserve">3.2 Carga robusta de librerías externas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Las funciones ensureChartJs() y ensureLeaflet() intentan cargar Chart.js y Leaflet desde varios CDN distintos, uno tras otro, con un límite de tiempo por intento. Si ninguno responde (por ejemplo, sin conexión a internet), el panel no se rompe: sigue funcionando con una versión de respaldo dibujada solo con HTML y CSS.</w:t>
      </w:r>
    </w:p>
    <w:p>
      <w:pPr>
        <w:pStyle w:val="Heading2"/>
        <w:spacing w:after="120" w:before="260"/>
      </w:pPr>
      <w:r>
        <w:t xml:space="preserve">3.3 Estado de los filtros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Un objeto state guarda la provincia, el grupo, el cultivo, los motivos activos y el texto de búsqueda de departamento seleccionados en cada momento. Cada control de la barra de filtros tiene un “escuchador” de eventos que actualiza este objeto y vuelve a dibujar todo el panel.</w:t>
      </w:r>
    </w:p>
    <w:p>
      <w:pPr>
        <w:pStyle w:val="Heading2"/>
        <w:spacing w:after="120" w:before="260"/>
      </w:pPr>
      <w:r>
        <w:t xml:space="preserve">3.4 Funciones de cálculo (computeX...)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filteredCultivoRecords(), sumBy() y las funciones computeMotivosItems(), computeGrupoRows(), computeCultivosItems(), computeProvinciaEntries() y computeProvinciaTotals() son las que cruzan los datos crudos con los filtros activos y devuelven, ya listos, los números que va a mostrar cada gráfico.</w:t>
      </w:r>
    </w:p>
    <w:p>
      <w:pPr>
        <w:pStyle w:val="Heading2"/>
        <w:spacing w:after="120" w:before="260"/>
      </w:pPr>
      <w:r>
        <w:t xml:space="preserve">3.5 Dos motores de gráficos intercambiables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buildFallbackEngine() dibuja los 4 gráficos “a mano”, con barras y un donut hechos en HTML/CSS puro. buildChartJsEngine() dibuja los mismos 4 gráficos pero usando la librería Chart.js (con animaciones y tooltips). El panel elige uno de los dos según si Chart.js pudo cargarse.</w:t>
      </w:r>
    </w:p>
    <w:p>
      <w:pPr>
        <w:pStyle w:val="Heading2"/>
        <w:spacing w:after="120" w:before="260"/>
      </w:pPr>
      <w:r>
        <w:t xml:space="preserve">3.6 El mapa de parcelas (heatmap por departamento)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renderHeatmap() arma la lista de departamentos/partidos con una barra de intensidad por motivo, incluyendo el patrón rayado para los valores bajo secreto estadístico.</w:t>
      </w:r>
    </w:p>
    <w:p>
      <w:pPr>
        <w:pStyle w:val="Heading2"/>
        <w:spacing w:after="120" w:before="260"/>
      </w:pPr>
      <w:r>
        <w:t xml:space="preserve">3.7 El mapa interactivo (Leaflet + Argenmap)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buildMap() inicializa el mapa sobre el mosaico base de Argenmap (IGN), pinta las provincias según el EAP filtrado, agrega las líneas de límite de partido y coloca un círculo por cada departamento (color = motivo principal, tamaño = EAP). updateMapView() vuelve a colorear todo cuando cambian los filtros.</w:t>
      </w:r>
    </w:p>
    <w:p>
      <w:pPr>
        <w:pStyle w:val="Heading2"/>
        <w:spacing w:after="120" w:before="260"/>
      </w:pPr>
      <w:r>
        <w:t xml:space="preserve">3.8 renderKpis() y renderAll()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renderKpis() calcula y escribe en pantalla el EAP total, la cantidad de provincias y departamentos en vista, y el porcentaje de datos bajo secreto estadístico. renderAll() es la función “maestra”: llama a renderKpis(), a los 4 gráficos, al heatmap y al mapa, en ese orden, cada vez que el usuario cambia un filtro.</w:t>
      </w:r>
    </w:p>
    <w:p>
      <w:pPr>
        <w:pStyle w:val="Heading2"/>
        <w:spacing w:after="120" w:before="260"/>
      </w:pPr>
      <w:r>
        <w:t xml:space="preserve">3.9 boot()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 el punto de arranque del panel, la única función que se ejecuta sola al abrir la página. Carga Chart.js y Leaflet en paralelo, elige el motor de gráficos disponible, inicializa el mapa (o muestra un aviso si no hay conexión) y finalmente llama a renderAll() para pintar todo por primera vez.</w:t>
      </w:r>
    </w:p>
    <w:p>
      <w:pPr>
        <w:pStyle w:val="Heading1"/>
        <w:spacing w:after="160" w:before="320"/>
      </w:pPr>
      <w:r>
        <w:t xml:space="preserve">4. Lectura línea por línea del fragmento analizado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siguiente extracto corresponde al cierre de renderKpis(), a la función renderAll() y a boot() — el corazón del ciclo de actualización del panel.</w:t>
      </w:r>
    </w:p>
    <w:p>
      <w:pPr>
        <w:pStyle w:val="Heading2"/>
        <w:spacing w:after="120" w:before="260"/>
      </w:pPr>
      <w:r>
        <w:t xml:space="preserve">4.1 Cierre de renderKpis()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const recs = filteredCultivoRecords();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Obtiene los registros de EAP que cumplen con los filtros activos en ese momento (provincia, grupo, cultivo y motivos marcados).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const eapTotal = recs.reduce((a,r)=&gt;a+(r.eap||0),0);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Suma el campo eap de todos esos registros para obtener el total de EAP con no cosecha bajo el filtro actual.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const nSecreto = ... / const nTotal = ... / const pct = ...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Cuenta cuántas celdas están marcadas como secreto estadístico (n_secreto) sobre el total de celdas (n_total), y calcula el porcentaje que se muestra en el cuarto KPI.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document.getElementById('kpi-eap').innerHTML = fmt(eapTotal) + ' &lt;small&gt;EAP&lt;/small&gt;';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Escribe el número formateado (con separador de miles en formato argentino) dentro de la tarjeta “EAP con no cosecha”.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document.getElementById('kpi-prov').textContent = ...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Muestra 1 si hay una provincia seleccionada, o el total de provincias (3) si el filtro está en “Todas”.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let deptos = ... document.getElementById('kpi-depto').textContent = deptos;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Cuenta cuántos departamentos/partidos corresponden a la provincia filtrada (o el total de los 180 si no hay filtro), usando la lista deptosPorProvincia que viene en los datos.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document.getElementById('kpi-secreto').textContent = pct.toFixed(1) + '%'; ...-bar'.style.width = ...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Escribe el porcentaje de secreto estadístico y ajusta el ancho de la barrita visual de esa tarjeta (multiplicado por 4 solo para que sea visible incluso con porcentajes bajos).</w:t>
      </w:r>
    </w:p>
    <w:p>
      <w:pPr>
        <w:pStyle w:val="Heading2"/>
        <w:spacing w:after="120" w:before="260"/>
      </w:pPr>
      <w:r>
        <w:t xml:space="preserve">4.2 renderAll()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function renderAll(){
  renderKpis();
  if(engine){ engine.motivos(); engine.grupo(); engine.cultivos(); engine.provincia(); }
  renderHeatmap();
  updateMapView();
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 la función que redibuja absolutamente todo el panel: primero los 4 KPIs, después los 4 gráficos (solo si ya existe un “motor” de gráficos activo — engine), luego la lista de departamentos y por último el mapa. Se llama una vez al cargar la página y cada vez que el usuario cambia cualquier filtro, así todas las visualizaciones quedan siempre sincronizadas entre sí.</w:t>
      </w:r>
    </w:p>
    <w:p>
      <w:pPr>
        <w:pStyle w:val="Heading2"/>
        <w:spacing w:after="120" w:before="260"/>
      </w:pPr>
      <w:r>
        <w:t xml:space="preserve">4.3 boot()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const [chartJsReady, leafletReady] = await Promise.all([
  ensureChartJs().catch(() =&gt; false),
  ensureLeaflet().catch(() =&gt; false)
]);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Intenta cargar Chart.js y Leaflet al mismo tiempo (en paralelo, no uno después del otro) para no hacer esperar de más al usuario. Si alguno falla, .catch(() =&gt; false) evita que se corte la ejecución del resto del script.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if(chartJsReady &amp;&amp; typeof window.Chart !== 'undefined'){ engine = buildChartJsEngine(); ... }
else { engine = buildFallbackEngine(); ... 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Decide qué motor de gráficos usar: Chart.js si cargó correctamente, o el motor de respaldo en HTML/CSS si no. El bloque try/catch alrededor evita que un error al construir los gráficos de Chart.js deje el panel sin ningún gráfico.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if(leafletReady &amp;&amp; typeof window.L !== 'undefined'){ try{ buildMap(); } catch(err){ ...aviso... } }
else { ...aviso de "requiere conexión a internet"... 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Misma lógica para el mapa: si Leaflet cargó, intenta inicializarlo; si algo falla durante la inicialización, o si Leaflet nunca llegó a cargar, reemplaza el mapa por un mensaje de aviso en vez de dejar un espacio roto.</w:t>
      </w:r>
    </w:p>
    <w:p>
      <w:pPr>
        <w:shd w:fill="F2F1EC" w:val="clear"/>
        <w:spacing w:after="60"/>
      </w:pPr>
      <w:r>
        <w:rPr>
          <w:rFonts w:ascii="Consolas" w:cs="Consolas" w:eastAsia="Consolas" w:hAnsi="Consolas"/>
          <w:color w:val="3B2F28"/>
          <w:sz w:val="19"/>
          <w:szCs w:val="19"/>
        </w:rPr>
        <w:t xml:space="preserve">renderAll();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Última línea de boot(): una vez resuelto qué motor de gráficos usar y si el mapa está disponible, pinta el panel completo por primera vez con los valores iniciales de los filtros.</w:t>
      </w:r>
    </w:p>
    <w:p>
      <w:pPr>
        <w:pStyle w:val="Heading1"/>
        <w:spacing w:after="160" w:before="320"/>
      </w:pPr>
      <w:r>
        <w:t xml:space="preserve">5. Por qué el código está organizado así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Separación datos/presentación: </w:t>
      </w:r>
      <w:r>
        <w:rPr>
          <w:rFonts w:ascii="Calibri" w:cs="Calibri" w:eastAsia="Calibri" w:hAnsi="Calibri"/>
          <w:sz w:val="22"/>
          <w:szCs w:val="22"/>
        </w:rPr>
        <w:t xml:space="preserve">los cálculos estadísticos ya vienen resueltos desde Python (base INDEC depurada); el JavaScript solo filtra y dibuja. Esto evita reprocesar 33.000+ filas en el navegador cada vez que se cambia un filtro.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Redundancia ante fallas de red: </w:t>
      </w:r>
      <w:r>
        <w:rPr>
          <w:rFonts w:ascii="Calibri" w:cs="Calibri" w:eastAsia="Calibri" w:hAnsi="Calibri"/>
          <w:sz w:val="22"/>
          <w:szCs w:val="22"/>
        </w:rPr>
        <w:t xml:space="preserve">tanto Chart.js como Leaflet se cargan con reintentos por varios CDN, y ambos tienen una alternativa funcional si no hay internet — el panel nunca queda en blanco.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único punto de verdad: </w:t>
      </w:r>
      <w:r>
        <w:rPr>
          <w:rFonts w:ascii="Calibri" w:cs="Calibri" w:eastAsia="Calibri" w:hAnsi="Calibri"/>
          <w:sz w:val="22"/>
          <w:szCs w:val="22"/>
        </w:rPr>
        <w:t xml:space="preserve">toda actualización de la vista pasa por renderAll(), que a su vez llama siempre a las mismas funciones en el mismo orden. Esto evita que un gráfico quede desincronizado del resto al cambiar un filtro.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Autocontenido: </w:t>
      </w:r>
      <w:r>
        <w:rPr>
          <w:rFonts w:ascii="Calibri" w:cs="Calibri" w:eastAsia="Calibri" w:hAnsi="Calibri"/>
          <w:sz w:val="22"/>
          <w:szCs w:val="22"/>
        </w:rPr>
        <w:t xml:space="preserve">al ser un solo archivo .html con los datos embebidos, el docente puede abrirlo directamente por doble clic, sin instalar nada ni depender de un servidor.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D6CDC0" w:sz="6"/>
        </w:pBdr>
        <w:spacing w:before="200"/>
      </w:pPr>
      <w:r>
        <w:rPr>
          <w:rFonts w:ascii="Calibri" w:cs="Calibri" w:eastAsia="Calibri" w:hAnsi="Calibri"/>
          <w:i/>
          <w:iCs/>
          <w:color w:val="6E6559"/>
          <w:sz w:val="19"/>
          <w:szCs w:val="19"/>
        </w:rPr>
        <w:t xml:space="preserve">Documento generado como anexo técnico del dashboard interactivo “No cosecha” en la región pampeana (Buenos Aires, Córdoba y Santa Fe) — Censo Nacional Agropecuario, INDEC.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2026-08-24T23:12:07.158Z</dcterms:created>
  <dcterms:modified xsi:type="dcterms:W3CDTF">2026-08-24T23:12:07.173Z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