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DANI Simulation Report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Dynamic Analysis of Net Income - Run 3</w:t>
      </w:r>
    </w:p>
    <w:p>
      <w:pPr>
        <w:pBdr>
          <w:bottom w:val="single" w:color="2E75B6" w:sz="8" w:space="1"/>
        </w:pBdr>
        <w:spacing w:after="4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Generated: May 30, 2026  |  Data Range: May 23-29, 2026 (6 trading days)  |  Tickers Analyzed: 15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Executive Summary</w:t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Run 3 analyzed 5M+ option snapshot rows across 15 tickers over 6 trading days (May 23-29, 2026). Of 15 tickers, 13 produced actionable buckets and 2 (GEV, TKO) lacked sufficient DTE-range data. The dominant signal this week is short-dated call writing (1-3 DTE), with 9 of 13 top buckets being calls - a sharp reversal from Run 1 where puts led. Optimal exit thresholds shifted higher to 80-90%, suggesting the market moved more decisively this week. JPM and WDC remain standout performers with 100% hit rates and manageable drawdowns.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Run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360"/>
        <w:gridCol w:w="1800"/>
        <w:gridCol w:w="25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 Date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30, 2026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Data (insufficient)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GEV, TKO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Range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23-29, 2026 (6 trading days)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Calls vs Puts (top bucket)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calls, 4 puts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Snapshot Rows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5M+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Short DTE (1-3d) dominance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of 13 tickers (85%)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Tickers Analyzed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Avg Optimal Exit %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Tickers With Data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 of 15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Avg Score (top buckets)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74.1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Full Results - Top Bucket Per Ticker</w:t>
      </w:r>
    </w:p>
    <w:p>
      <w:pPr>
        <w:spacing w:after="120" w:before="60"/>
      </w:pPr>
      <w:r>
        <w:rPr>
          <w:i/>
          <w:iCs/>
          <w:color w:val="666666"/>
          <w:sz w:val="18"/>
          <w:szCs w:val="18"/>
        </w:rPr>
        <w:t xml:space="preserve">Sorted by DANI score (descending). Score = optimal exit % x hit rate at that threshold. Confidence reflects sample size: Low &lt; 10 entries, Medium 10-20, High &gt; 20.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"/>
        <w:gridCol w:w="842"/>
        <w:gridCol w:w="693"/>
        <w:gridCol w:w="768"/>
        <w:gridCol w:w="842"/>
        <w:gridCol w:w="842"/>
        <w:gridCol w:w="792"/>
        <w:gridCol w:w="916"/>
        <w:gridCol w:w="916"/>
        <w:gridCol w:w="1015"/>
        <w:gridCol w:w="594"/>
        <w:gridCol w:w="793"/>
      </w:tblGrid>
      <w:tr>
        <w:trPr>
          <w:tblHeader/>
        </w:trP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OTM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DTE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Exit%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 Rate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Peak%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Drawdown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AMD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4-6%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90.0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98.2%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-180.9%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JPM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0-2%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90.0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99.5%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-6.6%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WDC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0-2%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90.0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98.3%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-70.7%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NVDA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4-6%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90.0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99.2%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-29.6%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OKLO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0-2%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90.0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-43.9%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AAPL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0-2%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81.0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94.5%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-41.5%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CEG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0-2%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77.1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94.4%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-11.0%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MSFT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0-2%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70.8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90.9%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-54.0%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CAT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0-2%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70.6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92.7%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-21.5%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NOW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0-2%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66.7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88.5%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-45.3%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LMT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2-4%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1-3d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87.1%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-163.0%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UPS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2-4%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8-14d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43.8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69.4%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-21.1%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0-2%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4-7d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39.0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47.4%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-18.3%</w:t>
            </w:r>
          </w:p>
        </w:tc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Key Findings</w:t>
      </w:r>
    </w:p>
    <w:p>
      <w:pPr>
        <w:pStyle w:val="Heading2"/>
      </w:pPr>
      <w:r>
        <w:t xml:space="preserve">1. Calls Dominated - Complete Reversal from Run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Run 1 (4 days, bullish week): puts dramatically outperformed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Run 3 (6 days, mixed week): 9 of 13 top buckets are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Conclusion: put outperformance in Run 1 was a bullish-week artifact, not a structural edge. Call-writing is the durable signal.</w:t>
      </w:r>
    </w:p>
    <w:p>
      <w:pPr>
        <w:pStyle w:val="Heading2"/>
      </w:pPr>
      <w:r>
        <w:t xml:space="preserve">2. Short DTE (1-3d) Remains 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11 of 13 tickers (85%) show 1-3d as the highest-scoring DTE bucket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Consistent across both runs - this is the highest conviction structural signal in DANI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Exceptions: UPS (8-14d puts), COST (4-7d calls) - both lower-score outliers</w:t>
      </w:r>
    </w:p>
    <w:p>
      <w:pPr>
        <w:pStyle w:val="Heading2"/>
      </w:pPr>
      <w:r>
        <w:t xml:space="preserve">3. Optimal Exit Shifted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Run 1: optimal exits clustered at 65-75%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Run 3: 7 tickers at 90%, 4 at 80%, 1 at 70%, 1 at 65%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Implication: consider raising target exit from 65-70% to 80-90% on high-conviction short-DTE trades</w:t>
      </w:r>
    </w:p>
    <w:p>
      <w:pPr>
        <w:pStyle w:val="Heading2"/>
      </w:pPr>
      <w:r>
        <w:t xml:space="preserve">4. Standout Performers</w:t>
      </w:r>
    </w:p>
    <w:p>
      <w:pPr>
        <w:spacing w:after="60" w:before="120"/>
      </w:pPr>
      <w:r>
        <w:rPr>
          <w:b/>
          <w:bCs/>
        </w:rPr>
        <w:t xml:space="preserve">JPM Call 0-2% OTM, 1-3d - Best Risk-Adjusted Trade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100% hit rate across 7 entries, score 90, minimal drawdown of only -6.6%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Bearish dominant regime with tight drawdown makes this the cleanest risk-adjusted bucket in the study</w:t>
      </w:r>
    </w:p>
    <w:p>
      <w:pPr>
        <w:spacing w:after="60" w:before="120"/>
      </w:pPr>
      <w:r>
        <w:rPr>
          <w:b/>
          <w:bCs/>
        </w:rPr>
        <w:t xml:space="preserve">WDC Call 0-2% OTM, 1-3d - Highest Consistency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100% hit rate, 15 entries (medium confidence), score 90, avg peak profit 98.3%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Drawdown of -70.7% is elevated - position sizing should reflect this</w:t>
      </w:r>
    </w:p>
    <w:p>
      <w:pPr>
        <w:spacing w:after="60" w:before="120"/>
      </w:pPr>
      <w:r>
        <w:rPr>
          <w:b/>
          <w:bCs/>
        </w:rPr>
        <w:t xml:space="preserve">MSFT Put 0-2% OTM, 1-3d - Best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HIGH confidence (26 entries), 88% hit rate, score 70.8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Only put in the top tier - noteworthy as MSFT is neutral regime while most others are calls</w:t>
      </w:r>
    </w:p>
    <w:p>
      <w:pPr>
        <w:spacing w:after="60" w:before="120"/>
      </w:pPr>
      <w:r>
        <w:rPr>
          <w:b/>
          <w:bCs/>
        </w:rPr>
        <w:t xml:space="preserve">AMD/NVDA 4-6% OTM Calls - Perfect Hit Rate, Low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Both score 90 with 100% hit rates - but only 3 entries each (low confidence)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AMD drawdown of -180.9% is catastrophic - high score does not mean low risk. Avoid AMD calls until confidence improves.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NVDA drawdown of -29.6% is manageable - worth watching as sample grows</w:t>
      </w:r>
    </w:p>
    <w:p>
      <w:pPr>
        <w:pStyle w:val="Heading2"/>
      </w:pPr>
      <w:r>
        <w:t xml:space="preserve">5. Regime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9 of 13 tickers showed neutral dominant regime, 4 bearish (JPM, CEG, LMT, COST)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The neutral regime dominating calls is consistent with a choppy-but-slightly-bullish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Bearish regime tickers (JPM, CEG) still produced top call scores - regime alone does not dictate direction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Caution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 4-6% 1-3d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 90 but only 3 entries (low conf) + -180.9% drawdown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Avoid until N &gt; 10. Score driven by small sample.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 2-4% 1-3d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-163% drawdown despite 80% hit 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Size small. Exit at 80% strictly - do not hold through volatility spikes.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 0-2% 1-3d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Dominant regime is bearish - puts facing headwind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Favor calls per top bucket. Avoid puts on COST.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buckets - DTE range mismatch in snapshots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Wait 2+ more weeks for enough short-DTE entries to accumulate.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TKO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buckets - only 26-DTE snapshots found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TKO snapshots skewing to long DTE. Check snapshot coverage.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Comparison vs Prior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Run 1 (4 days, May 23-26)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Run 3 (6 days, May 23-29)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Top 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Puts dominated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Calls dominated (9 of 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Short DTE (1-3d) share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of 8 top buckets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of 13 top buckets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Optimal exit range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65-75%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80-90%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Best ticker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JPM call 0-2%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JPM call 0-2% (consistent)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Tickers with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of 15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of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Snapshot rows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~3.15M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5M+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No-data tickers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CEG, MSFT, NOW, NVDA, OKLO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GEV, TKO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Actionable Trade Parameters</w:t>
      </w:r>
    </w:p>
    <w:p>
      <w:pPr>
        <w:spacing w:after="120" w:before="60"/>
      </w:pPr>
      <w:r>
        <w:rPr>
          <w:i/>
          <w:iCs/>
          <w:color w:val="666666"/>
          <w:sz w:val="18"/>
          <w:szCs w:val="18"/>
        </w:rPr>
        <w:t xml:space="preserve">Based on high-confidence or high-score buckets with manageable drawdown. Apply only when SKYNET confirms signal alignment.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"/>
        <w:gridCol w:w="620"/>
        <w:gridCol w:w="640"/>
        <w:gridCol w:w="720"/>
        <w:gridCol w:w="720"/>
        <w:gridCol w:w="2900"/>
        <w:gridCol w:w="12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OTM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Exit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JPM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 Call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0-2%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1-3d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hit rate, -6.6% max drawdown. Best risk-adj bucket.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WDC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 Call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0-2%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1-3d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hit rate, 15 entries (med conf). Watch drawdown sizing.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AAPL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 Call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0-2%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1-3d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90% hit rate, 10 entries, low drawdown. Strong signal.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MSFT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 Put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0-2%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1-3d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high-conf put (26 entries). 88% hit rate.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CAT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 Call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0-2%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1-3d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88% hit rate, 17 entries, moderate drawdown.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CEG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 Call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0-2%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1-3d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86% hit rate, 7 entries (low conf). Promising.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LMT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 Put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2-4%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1-3d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conf (20 entries), but -163% tail risk. Size small.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b/>
          <w:bCs/>
        </w:rPr>
        <w:t xml:space="preserve">Run 4</w:t>
      </w:r>
      <w:r>
        <w:t xml:space="preserve"> - after 2+ more weeks of data accumulate (target: ~10 trading days total). More entries will resolve low-confidence buckets.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DANI Optimizer</w:t>
      </w:r>
      <w:r>
        <w:t xml:space="preserve"> - once 10+ trading days of data exist, run dani-optimize.js to auto-tune signal weights per ticker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GEV/TKO</w:t>
      </w:r>
      <w:r>
        <w:t xml:space="preserve"> - investigate snapshot DTE coverage. TKO only showing 26-DTE data; confirm market-refresh is capturing short-DTE chains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AMD Confidence</w:t>
      </w:r>
      <w:r>
        <w:t xml:space="preserve"> - AMD 4-6% call shows 100% hit rate on 3 entries. Monitor closely - if it holds at N=10+, this becomes a top-tier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Exit Threshold Update</w:t>
      </w:r>
      <w:r>
        <w:t xml:space="preserve"> - consider updating SKYNET target exits from 65% to 80% for 1-3d STO calls on JPM, WDC, AAPL, CEG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after="0" w:before="240"/>
      </w:pPr>
      <w:r>
        <w:rPr>
          <w:i/>
          <w:iCs/>
          <w:color w:val="999999"/>
          <w:sz w:val="16"/>
          <w:szCs w:val="16"/>
        </w:rPr>
        <w:t xml:space="preserve">Options Tracker - DANI Report | May 30, 2026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2026-05-30T17:01:30.758Z</dcterms:created>
  <dcterms:modified xsi:type="dcterms:W3CDTF">2026-05-30T17:01:30.758Z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