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kch2a665yib5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70"/>
        <w:gridCol w:w="1095"/>
        <w:gridCol w:w="3480"/>
        <w:gridCol w:w="2265"/>
        <w:tblGridChange w:id="0">
          <w:tblGrid>
            <w:gridCol w:w="2070"/>
            <w:gridCol w:w="1095"/>
            <w:gridCol w:w="3480"/>
            <w:gridCol w:w="226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8" w:val="single"/>
              <w:bottom w:color="666666" w:space="0" w:sz="12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Probar la velocidad del Bluetooth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BluetoothHC05-01-pruebaVelocidad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Comunicación por Bluetooth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Determinar la </w:t>
            </w:r>
            <w:r w:rsidDel="00000000" w:rsidR="00000000" w:rsidRPr="00000000">
              <w:rPr>
                <w:rtl w:val="0"/>
              </w:rPr>
              <w:t xml:space="preserve">velocidad máxima de transferencia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desea verificar la velocidad de conectividad que se puede alcanzar entre una computadora con Bluetooth y el arduino conectado al HC05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Alcanzar una velocidad que permita transmitir 10 fps con un tamaño de 300kb por segundo, minimamente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alcanzar la velocidad requerida de fps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Testear un entorno sin obstáculos y línea visual.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Establecer la mayor velocidad posible de baudios de transmisión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Módulo arduino UNO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BT HC05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Cables Hembra-Macho (x6)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Schlapp-Mansilla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8-3-2017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estableció la comunicación entre los modulos Bluetooth, Arduino&lt;-&gt; PC. La prueba no fue exitosa. Se alcanzó una velocidad de transmisión de 1,17kb/sg. 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fuente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ComunicaciónBluetooth.ino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Imágenes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i w:val="1"/>
                <w:color w:val="2e74b5"/>
              </w:rPr>
            </w:pPr>
            <w:r w:rsidDel="00000000" w:rsidR="00000000" w:rsidRPr="00000000">
              <w:rPr>
                <w:i w:val="1"/>
                <w:color w:val="2e74b5"/>
              </w:rPr>
              <w:drawing>
                <wp:inline distB="114300" distT="114300" distL="114300" distR="114300">
                  <wp:extent cx="3548063" cy="3548063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063" cy="3548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Sketch</w:t>
            </w:r>
          </w:p>
        </w:tc>
        <w:tc>
          <w:tcPr>
            <w:gridSpan w:val="3"/>
            <w:tcBorders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i w:val="1"/>
                <w:color w:val="2e74b5"/>
              </w:rPr>
            </w:pPr>
            <w:r w:rsidDel="00000000" w:rsidR="00000000" w:rsidRPr="00000000">
              <w:rPr>
                <w:i w:val="1"/>
                <w:color w:val="2e74b5"/>
              </w:rPr>
              <w:drawing>
                <wp:inline distB="114300" distT="114300" distL="114300" distR="114300">
                  <wp:extent cx="4200525" cy="22098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538dd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