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58A239DC" w14:textId="23896EA2" w:rsidR="008104CC" w:rsidRDefault="000971FE" w:rsidP="002A0F6C">
      <w:r>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Pr="006D05E0">
        <w:rPr>
          <w:iCs/>
        </w:rPr>
        <w:t>.</w:t>
      </w:r>
      <w:r w:rsidR="00DF319E">
        <w:rPr>
          <w:rStyle w:val="EndnoteReference"/>
          <w:iCs/>
        </w:rPr>
        <w:endnoteReference w:id="1"/>
      </w:r>
      <w:r w:rsidR="00DF319E">
        <w:t xml:space="preserve"> </w:t>
      </w:r>
      <w:r w:rsidR="005242CA">
        <w:t>And although</w:t>
      </w:r>
      <w:r>
        <w:t xml:space="preserve"> Oakeshott (like Plato’s Socrates and Chinese </w:t>
      </w:r>
      <w:proofErr w:type="spellStart"/>
      <w:r>
        <w:t>Daoists</w:t>
      </w:r>
      <w:proofErr w:type="spellEnd"/>
      <w:r>
        <w:t xml:space="preserve">)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2BC43E72" w14:textId="7A3F4170" w:rsidR="00A60C85" w:rsidRDefault="008104CC" w:rsidP="00B53951">
      <w:r>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t xml:space="preserve">we can observe </w:t>
      </w:r>
      <w:r>
        <w:t xml:space="preserve">it certainly would fall within that school insofar as it begins from 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xml:space="preserve">” of </w:t>
      </w:r>
      <w:r w:rsidR="002D2C08">
        <w:lastRenderedPageBreak/>
        <w:t>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 xml:space="preserve">there is never in experience </w:t>
      </w:r>
      <w:proofErr w:type="spellStart"/>
      <w:r w:rsidR="007D698B">
        <w:t>an</w:t>
      </w:r>
      <w:proofErr w:type="spellEnd"/>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268A0687" w:rsidR="00A60C85" w:rsidRPr="005661C8" w:rsidRDefault="00A60C85" w:rsidP="00B53951">
      <w:pPr>
        <w:rPr>
          <w:vertAlign w:val="superscript"/>
        </w:rPr>
      </w:pPr>
      <w:r>
        <w:t xml:space="preserve">Owing to the absence of a common subject matter to address, </w:t>
      </w:r>
      <w:r w:rsidR="005661C8">
        <w:t>Oakeshott is often critical of various settled modalities of experience from the standpoint of logical irrelevance (“</w:t>
      </w:r>
      <w:proofErr w:type="spellStart"/>
      <w:r w:rsidR="005661C8" w:rsidRPr="007976D2">
        <w:rPr>
          <w:i/>
        </w:rPr>
        <w:t>ignorat</w:t>
      </w:r>
      <w:r w:rsidR="00890B4D" w:rsidRPr="007976D2">
        <w:rPr>
          <w:i/>
        </w:rPr>
        <w:t>io</w:t>
      </w:r>
      <w:proofErr w:type="spellEnd"/>
      <w:r w:rsidR="005661C8" w:rsidRPr="007976D2">
        <w:rPr>
          <w:i/>
        </w:rPr>
        <w:t xml:space="preserve"> elenchi</w:t>
      </w:r>
      <w:r w:rsidR="005661C8">
        <w:t>”), for attempting to give advice to one another, as though they were all addressing the same subject matter. Attempting to derive practical implications from a poetic image would be an illustration of this logical error on Oakeshott’s view.</w:t>
      </w:r>
      <w:r w:rsidR="005661C8" w:rsidRPr="005661C8">
        <w:rPr>
          <w:vertAlign w:val="superscript"/>
        </w:rPr>
        <w:t>1</w:t>
      </w:r>
    </w:p>
    <w:p w14:paraId="64D58C9B" w14:textId="77777777" w:rsidR="005661C8" w:rsidRDefault="005661C8" w:rsidP="00B53951"/>
    <w:p w14:paraId="1D20B177" w14:textId="18292A02" w:rsidR="00E033B8" w:rsidRDefault="005661C8" w:rsidP="00B53951">
      <w:r>
        <w:lastRenderedPageBreak/>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w:t>
      </w:r>
      <w:proofErr w:type="gramStart"/>
      <w:r w:rsidR="001B0122">
        <w:t>round</w:t>
      </w:r>
      <w:proofErr w:type="gramEnd"/>
      <w:r w:rsidR="001B0122">
        <w:t xml:space="preserve">.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23B7B509" w:rsidR="00027F57" w:rsidRDefault="00E033B8" w:rsidP="00B53951">
      <w:r>
        <w:t xml:space="preserve">In the popular essays of the 1940s and 1950s collected in </w:t>
      </w:r>
      <w:r w:rsidRPr="007976D2">
        <w:rPr>
          <w:i/>
        </w:rPr>
        <w:t>Rationalism in Politics and Other Essays</w:t>
      </w:r>
      <w:r>
        <w:t xml:space="preserve">, Oakeshott defines </w:t>
      </w:r>
      <w:r w:rsidR="00121104">
        <w:t>modern Rationalism as a mode of thought appearing over the past four centuries, and characterized by a belief in the “sovereignty” of technique, to the 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 xml:space="preserve">liently </w:t>
      </w:r>
      <w:r w:rsidR="005242CA">
        <w:lastRenderedPageBreak/>
        <w:t>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4F583CC8" w14:textId="41000F79" w:rsidR="00567396" w:rsidRDefault="00027F57" w:rsidP="006D05E0">
      <w:r>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1962, p.</w:t>
      </w:r>
      <w:r w:rsidR="007976D2">
        <w:t xml:space="preserve"> 86</w:t>
      </w:r>
      <w:r w:rsidR="0061575B">
        <w:t>)</w:t>
      </w:r>
      <w:r>
        <w:t xml:space="preserve"> In its place, Oakeshott offers an account of the “concrete” </w:t>
      </w:r>
      <w:r w:rsidR="00840331">
        <w:t>mind, which arises from, 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w:t>
      </w:r>
      <w:r w:rsidR="008A4D94">
        <w:lastRenderedPageBreak/>
        <w:t xml:space="preserve">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090B8436" w14:textId="542239C0"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Christian traditional morality in the face of the barbarian invasions) in which</w:t>
      </w:r>
      <w:r w:rsidR="00567396">
        <w:t xml:space="preserve"> the </w:t>
      </w:r>
      <w:r w:rsidR="00506FFA">
        <w:t>“rationalist” or reflective element is dominant in conduct, that is in which choice of action is determined by (apparent) antecedent application of a moral ideal or a moral rule or law.</w:t>
      </w:r>
      <w:r w:rsidR="008331DC">
        <w:t xml:space="preserve"> He goes on to suggest that a healthy or balanced and </w:t>
      </w:r>
      <w:proofErr w:type="spellStart"/>
      <w:r w:rsidR="008331DC">
        <w:t>skilful</w:t>
      </w:r>
      <w:proofErr w:type="spellEnd"/>
      <w:r w:rsidR="008331DC">
        <w:t xml:space="preserve">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t>
      </w:r>
      <w:r w:rsidR="008331DC">
        <w:lastRenderedPageBreak/>
        <w:t>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5358E5" w:rsidRPr="005358E5">
        <w:rPr>
          <w:vertAlign w:val="superscript"/>
        </w:rPr>
        <w:t>2</w:t>
      </w:r>
      <w:r w:rsidR="005358E5">
        <w:t xml:space="preserve"> and Hegelian influences) is that the </w:t>
      </w:r>
      <w:r w:rsidR="005358E5" w:rsidRPr="00DB457A">
        <w:rPr>
          <w:i/>
        </w:rPr>
        <w:t xml:space="preserve">implicit </w:t>
      </w:r>
      <w:r w:rsidR="005358E5">
        <w:t>(“</w:t>
      </w:r>
      <w:r w:rsidR="005358E5" w:rsidRPr="00DB457A">
        <w:rPr>
          <w:i/>
        </w:rPr>
        <w:t xml:space="preserve">an </w:t>
      </w:r>
      <w:proofErr w:type="spellStart"/>
      <w:r w:rsidR="005358E5" w:rsidRPr="00DB457A">
        <w:rPr>
          <w:i/>
        </w:rPr>
        <w:t>si</w:t>
      </w:r>
      <w:r w:rsidR="00DB457A" w:rsidRPr="00DB457A">
        <w:rPr>
          <w:i/>
        </w:rPr>
        <w:t>ch</w:t>
      </w:r>
      <w:proofErr w:type="spellEnd"/>
      <w:r w:rsidR="005358E5">
        <w:t xml:space="preserve">”) is normally stronger than the </w:t>
      </w:r>
      <w:r w:rsidR="005358E5" w:rsidRPr="00DB457A">
        <w:rPr>
          <w:i/>
        </w:rPr>
        <w:t>explicit</w:t>
      </w:r>
      <w:r w:rsidR="005358E5">
        <w:t xml:space="preserve"> (</w:t>
      </w:r>
      <w:proofErr w:type="spellStart"/>
      <w:r w:rsidR="005358E5" w:rsidRPr="00DB457A">
        <w:rPr>
          <w:i/>
        </w:rPr>
        <w:t>für</w:t>
      </w:r>
      <w:proofErr w:type="spellEnd"/>
      <w:r w:rsidR="005358E5" w:rsidRPr="00DB457A">
        <w:rPr>
          <w:i/>
        </w:rPr>
        <w:t xml:space="preserve"> </w:t>
      </w:r>
      <w:proofErr w:type="spellStart"/>
      <w:r w:rsidR="005358E5" w:rsidRPr="00DB457A">
        <w:rPr>
          <w:i/>
        </w:rPr>
        <w:t>sich</w:t>
      </w:r>
      <w:proofErr w:type="spellEnd"/>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 xml:space="preserve">In the 1947 essay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others, the Declaration of the Rights of Man, national or racial </w:t>
      </w:r>
      <w:r w:rsidR="00B17FF8">
        <w:t>self-determination, open diplomacy, a single tax, Federalism, the World State, and so on.</w:t>
      </w:r>
    </w:p>
    <w:p w14:paraId="27BE32D6" w14:textId="29CC30A6" w:rsidR="00B17FF8" w:rsidRDefault="00B17FF8" w:rsidP="00B53951">
      <w:r>
        <w:tab/>
        <w:t>When Oakeshott’</w:t>
      </w:r>
      <w:r w:rsidR="00955F18">
        <w:t>s turns to the prove</w:t>
      </w:r>
      <w:r>
        <w:t>nance of this “intellectual fashion in the history of post-Renaissance Europe,” he starts with the circumstance under which a series of slowly</w:t>
      </w:r>
      <w:r w:rsidR="00955F18">
        <w:t xml:space="preserve"> </w:t>
      </w:r>
      <w:r>
        <w:t xml:space="preserve">mediated changes emerged unmistakably in the seventeenth century investigation into the </w:t>
      </w:r>
      <w:r>
        <w:lastRenderedPageBreak/>
        <w:t>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6146A0" w:rsidRPr="006146A0">
        <w:rPr>
          <w:vertAlign w:val="superscript"/>
        </w:rPr>
        <w:t>3</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EF16771" w14:textId="7ED94E60" w:rsidR="006146A0" w:rsidRDefault="006146A0" w:rsidP="00226E54">
      <w:pPr>
        <w:ind w:left="1440" w:right="1440"/>
      </w:pPr>
      <w:r>
        <w:t xml:space="preserve">The Declaration of Independence is a characteristic product of the </w:t>
      </w:r>
      <w:r w:rsidR="003B451D" w:rsidRPr="00DB457A">
        <w:rPr>
          <w:i/>
        </w:rPr>
        <w:t>s</w:t>
      </w:r>
      <w:r w:rsidR="00B92B31" w:rsidRPr="00DB457A">
        <w:rPr>
          <w:i/>
        </w:rPr>
        <w:t>aeculum</w:t>
      </w:r>
      <w:r w:rsidRPr="00DB457A">
        <w:rPr>
          <w:i/>
        </w:rPr>
        <w:t xml:space="preserve"> </w:t>
      </w:r>
      <w:proofErr w:type="spellStart"/>
      <w:r w:rsidRPr="00DB457A">
        <w:rPr>
          <w:i/>
        </w:rPr>
        <w:t>rationalis</w:t>
      </w:r>
      <w:r w:rsidR="00B92B31" w:rsidRPr="00DB457A">
        <w:rPr>
          <w:i/>
        </w:rPr>
        <w:t>ticum</w:t>
      </w:r>
      <w:proofErr w:type="spellEnd"/>
      <w:r>
        <w:t>. It represents the politics of the felt need interpreted with the aid of an ideology.</w:t>
      </w:r>
      <w:r w:rsidR="00630E02">
        <w:t xml:space="preserve"> (Oakeshott, 1962, p. </w:t>
      </w:r>
      <w:r w:rsidR="00B92B31">
        <w:t>28</w:t>
      </w:r>
      <w:r w:rsidR="00630E02">
        <w:t>)</w:t>
      </w:r>
    </w:p>
    <w:p w14:paraId="39AAF886" w14:textId="273D89B9" w:rsidR="009535C8" w:rsidRDefault="006146A0" w:rsidP="00226E54">
      <w:r>
        <w:lastRenderedPageBreak/>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F10ADB" w:rsidRPr="00F10ADB">
        <w:rPr>
          <w:vertAlign w:val="superscript"/>
        </w:rPr>
        <w:t xml:space="preserve">4 </w:t>
      </w:r>
      <w:r w:rsidR="00F10ADB">
        <w:t xml:space="preserve">(“reason </w:t>
      </w:r>
      <w:r w:rsidR="00630E02">
        <w:t>has insight only into that</w:t>
      </w:r>
      <w:r w:rsidR="00F10ADB">
        <w:t xml:space="preserve"> which it produces after a plan of its own”), neo-Kantian</w:t>
      </w:r>
      <w:r w:rsidR="00F10ADB" w:rsidRPr="00F10ADB">
        <w:rPr>
          <w:vertAlign w:val="superscript"/>
        </w:rPr>
        <w:t>5</w:t>
      </w:r>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61EDEBEB" w14:textId="4EC99A9E" w:rsidR="00162388" w:rsidRDefault="009535C8" w:rsidP="00226E54">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acquired contents, political and moral activity especially are mis-conceived (with disastrous effects) when viewed as the application of a</w:t>
      </w:r>
      <w:r w:rsidR="00C61E13">
        <w:t xml:space="preserve">ntecedently existing </w:t>
      </w:r>
      <w:r w:rsidR="00162388">
        <w:t xml:space="preserve"> codes and ideologies to particular cases or problems. By way of assessing the cogency of these </w:t>
      </w:r>
      <w:proofErr w:type="spellStart"/>
      <w:r w:rsidR="00162388">
        <w:t>Oakeshottian</w:t>
      </w:r>
      <w:proofErr w:type="spellEnd"/>
      <w:r w:rsidR="00162388">
        <w:t xml:space="preserve"> claims, let us attempt</w:t>
      </w:r>
      <w:r w:rsidR="00BF29F8">
        <w:t xml:space="preserve"> very</w:t>
      </w:r>
      <w:r w:rsidR="00162388">
        <w:t xml:space="preserve"> briefly to analyze these claims critically.</w:t>
      </w:r>
    </w:p>
    <w:p w14:paraId="7EF0072E" w14:textId="71A0C6B6" w:rsidR="00C44B7E" w:rsidRDefault="00162388" w:rsidP="00226E54">
      <w:r>
        <w:t>Arguably, a</w:t>
      </w:r>
      <w:r w:rsidR="00B92B31">
        <w:t>n</w:t>
      </w:r>
      <w:r>
        <w:t xml:space="preserve"> intelligent way of assessing the cogency of Oakeshott’s critique of Rationalism is to start with those of its claims</w:t>
      </w:r>
      <w:r w:rsidR="00FF7D08">
        <w:t xml:space="preserve"> which appear most indisputable. Arguably, doing 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 xml:space="preserve">ological level, </w:t>
      </w:r>
      <w:r w:rsidR="00FF7D08">
        <w:lastRenderedPageBreak/>
        <w:t>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w:t>
      </w:r>
      <w:proofErr w:type="spellStart"/>
      <w:r w:rsidR="00C61E13">
        <w:t>Cartesianism</w:t>
      </w:r>
      <w:proofErr w:type="spellEnd"/>
      <w:r w:rsidR="00C61E13">
        <w:t xml:space="preserve">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404F7D6C" w14:textId="67C9B427" w:rsidR="00FD5069" w:rsidRDefault="00C44B7E" w:rsidP="00347B8C">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w:t>
      </w:r>
      <w:proofErr w:type="gramStart"/>
      <w:r w:rsidR="00C61E13">
        <w:t xml:space="preserve">century </w:t>
      </w:r>
      <w:r w:rsidR="005B742A">
        <w:t xml:space="preserve"> attempt</w:t>
      </w:r>
      <w:proofErr w:type="gramEnd"/>
      <w:r w:rsidR="005B742A">
        <w:t xml:space="preserve">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w:t>
      </w:r>
      <w:proofErr w:type="gramStart"/>
      <w:r w:rsidR="008940F4">
        <w:t xml:space="preserve">those </w:t>
      </w:r>
      <w:r w:rsidR="005B742A">
        <w:t xml:space="preserve"> </w:t>
      </w:r>
      <w:r w:rsidR="00630E02">
        <w:t>criteria</w:t>
      </w:r>
      <w:proofErr w:type="gramEnd"/>
      <w:r w:rsidR="00630E02">
        <w:t xml:space="preserve"> which can</w:t>
      </w:r>
      <w:r w:rsidR="005B742A">
        <w:t xml:space="preserve"> be quantified (number of books 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lastRenderedPageBreak/>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7D9D38DB" w14:textId="46EA423F" w:rsidR="00BF29F8" w:rsidRDefault="003C7CD0" w:rsidP="00347B8C">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Pr="003C7CD0">
        <w:rPr>
          <w:vertAlign w:val="superscript"/>
        </w:rPr>
        <w:t>6</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association 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1D672749" w14:textId="77777777" w:rsidR="003C7CD0" w:rsidRPr="00830950" w:rsidRDefault="00830950" w:rsidP="00B53951">
      <w:pPr>
        <w:jc w:val="center"/>
        <w:rPr>
          <w:b/>
          <w:u w:val="single"/>
        </w:rPr>
      </w:pPr>
      <w:r w:rsidRPr="00830950">
        <w:rPr>
          <w:b/>
          <w:u w:val="single"/>
        </w:rPr>
        <w:lastRenderedPageBreak/>
        <w:t>Notes</w:t>
      </w:r>
    </w:p>
    <w:p w14:paraId="195AE879" w14:textId="77777777" w:rsidR="00830950" w:rsidRDefault="00830950" w:rsidP="00B53951"/>
    <w:p w14:paraId="29B8F8EA" w14:textId="13DBA1D0" w:rsidR="00432388" w:rsidRDefault="00830950" w:rsidP="00347B8C">
      <w:pPr>
        <w:pStyle w:val="ListParagraph"/>
        <w:numPr>
          <w:ilvl w:val="0"/>
          <w:numId w:val="1"/>
        </w:numPr>
      </w:pPr>
      <w:r>
        <w:t xml:space="preserve">In his lengthy 1959 essay, “The Voice of Poetry in </w:t>
      </w:r>
      <w:r w:rsidR="00F5276E">
        <w:t xml:space="preserve">the </w:t>
      </w:r>
      <w:r>
        <w:t xml:space="preserve">Conversation of Mankind,” Oakeshott presented the view of poetic or </w:t>
      </w:r>
      <w:r w:rsidR="0069186E">
        <w:t>aesthetic</w:t>
      </w:r>
      <w:r>
        <w:t xml:space="preserve"> experience as a separate modality of experience, detached from practical experience.</w:t>
      </w:r>
    </w:p>
    <w:p w14:paraId="38320386" w14:textId="77777777" w:rsidR="00432388" w:rsidRDefault="00830950" w:rsidP="00B53951">
      <w:pPr>
        <w:pStyle w:val="ListParagraph"/>
        <w:numPr>
          <w:ilvl w:val="0"/>
          <w:numId w:val="1"/>
        </w:numPr>
      </w:pPr>
      <w:r>
        <w:t xml:space="preserve">For development of the parallels between Oakeshott’s critique of Rationalism and Chinese Daoist thought (especially the </w:t>
      </w:r>
      <w:r w:rsidR="0069186E" w:rsidRPr="00B92B31">
        <w:rPr>
          <w:i/>
          <w:u w:val="single"/>
        </w:rPr>
        <w:t>Zhuangzi</w:t>
      </w:r>
      <w:r w:rsidR="0069186E">
        <w:t>) see Coats and Cheung (2012).</w:t>
      </w:r>
    </w:p>
    <w:p w14:paraId="0C160150" w14:textId="6BDB7669" w:rsidR="00432388" w:rsidRDefault="00BF29F8" w:rsidP="00347B8C">
      <w:pPr>
        <w:ind w:left="720"/>
      </w:pPr>
      <w:r>
        <w:t>According to Oakeshott biographer Robert Grant (in private correspondence)</w:t>
      </w:r>
      <w:r w:rsidR="00A653E6">
        <w:t xml:space="preserve"> </w:t>
      </w:r>
      <w:r>
        <w:t xml:space="preserve">Oakeshott read and discussed Emile </w:t>
      </w:r>
      <w:proofErr w:type="spellStart"/>
      <w:r>
        <w:t>Hovelaque’s</w:t>
      </w:r>
      <w:proofErr w:type="spellEnd"/>
      <w:r>
        <w:t xml:space="preserve"> 1923 book </w:t>
      </w:r>
      <w:r>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16ADAAC9" w14:textId="3856D8A4" w:rsidR="00432388" w:rsidRDefault="0069186E" w:rsidP="00347B8C">
      <w:pPr>
        <w:pStyle w:val="ListParagraph"/>
        <w:numPr>
          <w:ilvl w:val="0"/>
          <w:numId w:val="1"/>
        </w:numPr>
      </w:pPr>
      <w:r>
        <w:t>Oakeshott says that Descartes himself never became a “Cartesian,” but for the view that Oakeshott is too kind to Descartes o</w:t>
      </w:r>
      <w:r w:rsidR="000C55F0">
        <w:t>n</w:t>
      </w:r>
      <w:r>
        <w:t xml:space="preserve"> this point, see my essay “Oakeshott’s Descartes, </w:t>
      </w:r>
      <w:proofErr w:type="spellStart"/>
      <w:r>
        <w:t>Vico’s</w:t>
      </w:r>
      <w:proofErr w:type="spellEnd"/>
      <w:r>
        <w:t xml:space="preserve"> Descartes,” in Coats (2019).</w:t>
      </w:r>
    </w:p>
    <w:p w14:paraId="1F7D916D" w14:textId="54550558" w:rsidR="00432388" w:rsidRDefault="0069186E" w:rsidP="00B53951">
      <w:pPr>
        <w:pStyle w:val="ListParagraph"/>
        <w:numPr>
          <w:ilvl w:val="0"/>
          <w:numId w:val="1"/>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11881C4" w14:textId="5557A9E2" w:rsidR="00432388" w:rsidRDefault="0069186E" w:rsidP="00347B8C">
      <w:pPr>
        <w:pStyle w:val="ListParagraph"/>
        <w:numPr>
          <w:ilvl w:val="0"/>
          <w:numId w:val="1"/>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w:t>
      </w:r>
      <w:proofErr w:type="spellStart"/>
      <w:r w:rsidR="008940F4">
        <w:t>Po</w:t>
      </w:r>
      <w:r>
        <w:t>doksik</w:t>
      </w:r>
      <w:proofErr w:type="spellEnd"/>
      <w:r>
        <w:t xml:space="preserve"> (</w:t>
      </w:r>
      <w:r w:rsidR="00630E02">
        <w:t>2013</w:t>
      </w:r>
      <w:r>
        <w:t>).</w:t>
      </w:r>
      <w:r w:rsidR="000C55F0">
        <w:t xml:space="preserve"> For the view that </w:t>
      </w:r>
      <w:proofErr w:type="spellStart"/>
      <w:r w:rsidR="000C55F0">
        <w:t>Podoksik</w:t>
      </w:r>
      <w:proofErr w:type="spellEnd"/>
      <w:r w:rsidR="000C55F0">
        <w:t xml:space="preserve"> goes too far in characterizing as “</w:t>
      </w:r>
      <w:proofErr w:type="spellStart"/>
      <w:r w:rsidR="000C55F0">
        <w:t>fragmentationist</w:t>
      </w:r>
      <w:proofErr w:type="spellEnd"/>
      <w:r w:rsidR="000C55F0">
        <w:t>” Oakeshott’s account of modern plurality, see Coats, 2019, pp. 20-35.</w:t>
      </w:r>
    </w:p>
    <w:p w14:paraId="135419EA" w14:textId="5A599EF5" w:rsidR="00057F78" w:rsidRDefault="0069186E" w:rsidP="00763437">
      <w:pPr>
        <w:pStyle w:val="ListParagraph"/>
        <w:numPr>
          <w:ilvl w:val="0"/>
          <w:numId w:val="1"/>
        </w:numPr>
      </w:pPr>
      <w:r>
        <w:t>For example</w:t>
      </w:r>
      <w:r w:rsidR="002D39FE">
        <w:t>s</w:t>
      </w:r>
      <w:r w:rsidR="00630E02">
        <w:t xml:space="preserve"> of </w:t>
      </w:r>
      <w:proofErr w:type="spellStart"/>
      <w:r w:rsidR="00630E02">
        <w:t>Oakeshottian</w:t>
      </w:r>
      <w:proofErr w:type="spellEnd"/>
      <w:r w:rsidR="00630E02">
        <w:t xml:space="preserve">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2E1F1F49" w:rsidR="00057F78" w:rsidRDefault="00057F78" w:rsidP="00057F78">
      <w:r>
        <w:t xml:space="preserve">           </w:t>
      </w: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6B65F250" w14:textId="25520464" w:rsidR="00057A5D" w:rsidRPr="00057A5D" w:rsidRDefault="00057A5D" w:rsidP="00B53951">
      <w:pPr>
        <w:jc w:val="center"/>
        <w:rPr>
          <w:b/>
          <w:u w:val="single"/>
        </w:rPr>
      </w:pPr>
      <w:r w:rsidRPr="00057A5D">
        <w:rPr>
          <w:b/>
          <w:u w:val="single"/>
        </w:rPr>
        <w:lastRenderedPageBreak/>
        <w:t>References</w:t>
      </w:r>
    </w:p>
    <w:p w14:paraId="410DDAFA" w14:textId="77777777" w:rsidR="00057A5D" w:rsidRDefault="00057A5D" w:rsidP="00B53951"/>
    <w:p w14:paraId="681F5F10" w14:textId="47AB9029" w:rsidR="00057A5D" w:rsidRDefault="00057A5D" w:rsidP="006D05E0">
      <w:pPr>
        <w:ind w:left="720" w:hanging="720"/>
      </w:pPr>
      <w:r>
        <w:t xml:space="preserve">Aristotle (1936) </w:t>
      </w:r>
      <w:proofErr w:type="spellStart"/>
      <w:r w:rsidRPr="00B92B31">
        <w:rPr>
          <w:i/>
        </w:rPr>
        <w:t>Nichom</w:t>
      </w:r>
      <w:r w:rsidR="000C55F0" w:rsidRPr="00B92B31">
        <w:rPr>
          <w:i/>
        </w:rPr>
        <w:t>a</w:t>
      </w:r>
      <w:r w:rsidRPr="00B92B31">
        <w:rPr>
          <w:i/>
        </w:rPr>
        <w:t>ch</w:t>
      </w:r>
      <w:r w:rsidR="000C55F0" w:rsidRPr="00B92B31">
        <w:rPr>
          <w:i/>
        </w:rPr>
        <w:t>ea</w:t>
      </w:r>
      <w:r w:rsidRPr="00B92B31">
        <w:rPr>
          <w:i/>
        </w:rPr>
        <w:t>n</w:t>
      </w:r>
      <w:proofErr w:type="spellEnd"/>
      <w:r w:rsidRPr="00B92B31">
        <w:rPr>
          <w:i/>
        </w:rPr>
        <w:t xml:space="preserve"> Ethics</w:t>
      </w:r>
      <w:r>
        <w:t>, trans. H. R</w:t>
      </w:r>
      <w:r w:rsidR="000C55F0">
        <w:t>a</w:t>
      </w:r>
      <w:r w:rsidR="002D39FE">
        <w:t>c</w:t>
      </w:r>
      <w:r w:rsidR="000C55F0">
        <w:t>kham</w:t>
      </w:r>
      <w:r>
        <w:t>. Cambridge, MA: Harvard University Press, p. 9.</w:t>
      </w:r>
    </w:p>
    <w:p w14:paraId="6B267AC7" w14:textId="33AC2234" w:rsidR="006D05E0" w:rsidRDefault="006D05E0" w:rsidP="006D05E0">
      <w:pPr>
        <w:ind w:left="720" w:hanging="720"/>
      </w:pPr>
      <w:r>
        <w:t xml:space="preserve">Callahan, G. (2018) “Hayek and Oakeshott on Rationalism” in </w:t>
      </w:r>
      <w:r w:rsidRPr="006D05E0">
        <w:rPr>
          <w:i/>
          <w:iCs/>
        </w:rPr>
        <w:t>Tradition V. Rationalism</w:t>
      </w:r>
      <w:r>
        <w:t xml:space="preserve">, Lanham, Maryland: </w:t>
      </w:r>
      <w:r w:rsidRPr="006D05E0">
        <w:t>Lexington Books</w:t>
      </w:r>
      <w:r>
        <w:t>, pp. 211-230.</w:t>
      </w:r>
    </w:p>
    <w:p w14:paraId="036E5C2B" w14:textId="5AB9F988" w:rsidR="00DC4FFE" w:rsidRDefault="00DC4FFE" w:rsidP="00DC4FFE">
      <w:pPr>
        <w:ind w:left="720" w:hanging="720"/>
      </w:pPr>
      <w:r>
        <w:rPr>
          <w:rFonts w:hint="eastAsia"/>
        </w:rPr>
        <w:t>Coats, W.</w:t>
      </w:r>
      <w:r w:rsidRPr="00DC4FFE">
        <w:rPr>
          <w:rFonts w:hint="eastAsia"/>
        </w:rPr>
        <w:t xml:space="preserve">J. </w:t>
      </w:r>
      <w:r>
        <w:t>(</w:t>
      </w:r>
      <w:r>
        <w:rPr>
          <w:rFonts w:hint="eastAsia"/>
        </w:rPr>
        <w:t>2000)</w:t>
      </w:r>
      <w:r w:rsidRPr="00DC4FFE">
        <w:rPr>
          <w:rFonts w:hint="eastAsia"/>
        </w:rPr>
        <w:t> </w:t>
      </w:r>
      <w:r>
        <w:rPr>
          <w:rFonts w:hint="eastAsia"/>
          <w:i/>
          <w:iCs/>
        </w:rPr>
        <w:t>Oakeshott and His C</w:t>
      </w:r>
      <w:r w:rsidRPr="00DC4FFE">
        <w:rPr>
          <w:rFonts w:hint="eastAsia"/>
          <w:i/>
          <w:iCs/>
        </w:rPr>
        <w:t>ontemporaries: Montaigne, St. Augustine, Hegel, et al</w:t>
      </w:r>
      <w:r w:rsidRPr="00DC4FFE">
        <w:rPr>
          <w:rFonts w:hint="eastAsia"/>
        </w:rPr>
        <w:t>. Selinsgrove: Susquehanna Univ. Press.</w:t>
      </w:r>
    </w:p>
    <w:p w14:paraId="037CD0E8" w14:textId="218AF6B0" w:rsidR="00057A5D" w:rsidRDefault="00057A5D" w:rsidP="006D05E0">
      <w:pPr>
        <w:ind w:left="720" w:hanging="720"/>
      </w:pPr>
      <w:r>
        <w:t xml:space="preserve">Coats, W.J. (2019) “Oakeshott’s Descartes, </w:t>
      </w:r>
      <w:proofErr w:type="spellStart"/>
      <w:r>
        <w:t>Vico’s</w:t>
      </w:r>
      <w:proofErr w:type="spellEnd"/>
      <w:r>
        <w:t xml:space="preserve">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17850777" w14:textId="601EED97" w:rsidR="00057A5D" w:rsidRDefault="00057A5D" w:rsidP="006D05E0">
      <w:pPr>
        <w:ind w:left="720" w:hanging="720"/>
      </w:pPr>
      <w:r>
        <w:t xml:space="preserve">Coats, W.J. and Cheung, C. (2012) </w:t>
      </w:r>
      <w:r w:rsidRPr="00B92B31">
        <w:rPr>
          <w:i/>
        </w:rPr>
        <w:t>The Poetic Character of Human Activity</w:t>
      </w:r>
      <w:r>
        <w:t>, Lanham, MD: Lexington Books.</w:t>
      </w:r>
    </w:p>
    <w:p w14:paraId="651B0C44" w14:textId="1D8DA634" w:rsidR="00057A5D" w:rsidRDefault="00057A5D" w:rsidP="006D05E0">
      <w:pPr>
        <w:ind w:left="720" w:hanging="720"/>
      </w:pPr>
      <w:r>
        <w:t xml:space="preserve">Oakeshott, M. (1933) </w:t>
      </w:r>
      <w:r w:rsidRPr="00B92B31">
        <w:rPr>
          <w:i/>
        </w:rPr>
        <w:t>Experience and Its Modes</w:t>
      </w:r>
      <w:r>
        <w:t>. Cambridge: Cambridge University Press.</w:t>
      </w:r>
    </w:p>
    <w:p w14:paraId="31337932" w14:textId="5E2DE564" w:rsidR="00057A5D" w:rsidRDefault="00057A5D" w:rsidP="006D05E0">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5F45B0C6" w14:textId="21C618A1" w:rsidR="00057A5D" w:rsidRDefault="00057A5D" w:rsidP="006D05E0">
      <w:pPr>
        <w:ind w:left="720" w:hanging="720"/>
      </w:pPr>
      <w:proofErr w:type="spellStart"/>
      <w:r>
        <w:t>Podoksik</w:t>
      </w:r>
      <w:proofErr w:type="spellEnd"/>
      <w:r>
        <w:t xml:space="preserve">, E. (2013) “From Difference to Fragmentation,” in Henkel M. and </w:t>
      </w:r>
      <w:proofErr w:type="spellStart"/>
      <w:r>
        <w:t>Lembcke</w:t>
      </w:r>
      <w:proofErr w:type="spellEnd"/>
      <w:r>
        <w:t xml:space="preserve">, O. (eds) </w:t>
      </w:r>
      <w:r w:rsidR="00D004B6">
        <w:rPr>
          <w:i/>
        </w:rPr>
        <w:t xml:space="preserve">Praxis und </w:t>
      </w:r>
      <w:proofErr w:type="spellStart"/>
      <w:r w:rsidR="00D004B6">
        <w:rPr>
          <w:i/>
        </w:rPr>
        <w:t>Politik</w:t>
      </w:r>
      <w:proofErr w:type="spellEnd"/>
      <w:r w:rsidRPr="00B92B31">
        <w:rPr>
          <w:i/>
        </w:rPr>
        <w:t xml:space="preserve"> - - Michael Oakeshott </w:t>
      </w:r>
      <w:proofErr w:type="spellStart"/>
      <w:r w:rsidRPr="00B92B31">
        <w:rPr>
          <w:i/>
        </w:rPr>
        <w:t>i</w:t>
      </w:r>
      <w:r w:rsidR="002D39FE">
        <w:rPr>
          <w:i/>
        </w:rPr>
        <w:t>m</w:t>
      </w:r>
      <w:proofErr w:type="spellEnd"/>
      <w:r w:rsidRPr="00B92B31">
        <w:rPr>
          <w:i/>
        </w:rPr>
        <w:t xml:space="preserve"> Dialog</w:t>
      </w:r>
      <w:r>
        <w:t xml:space="preserve">, Tubingen: Mohr </w:t>
      </w:r>
      <w:proofErr w:type="spellStart"/>
      <w:r>
        <w:t>Siebeck</w:t>
      </w:r>
      <w:proofErr w:type="spellEnd"/>
      <w:r>
        <w:t>.</w:t>
      </w:r>
      <w:r w:rsidR="000C55F0" w:rsidRPr="000C55F0">
        <w:t xml:space="preserve"> </w:t>
      </w:r>
      <w:r w:rsidR="000C55F0">
        <w:t>pp. 101-104.</w:t>
      </w:r>
    </w:p>
    <w:p w14:paraId="0F9B9372" w14:textId="77777777" w:rsidR="00057A5D" w:rsidRPr="00140088" w:rsidRDefault="00057A5D" w:rsidP="00B53951">
      <w:pPr>
        <w:ind w:left="720" w:hanging="720"/>
      </w:pPr>
      <w:r>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3EC25" w14:textId="77777777" w:rsidR="004520AA" w:rsidRDefault="004520AA" w:rsidP="004D0DE8">
      <w:r>
        <w:separator/>
      </w:r>
    </w:p>
  </w:endnote>
  <w:endnote w:type="continuationSeparator" w:id="0">
    <w:p w14:paraId="03032FFF" w14:textId="77777777" w:rsidR="004520AA" w:rsidRDefault="004520AA" w:rsidP="004D0DE8">
      <w:r>
        <w:continuationSeparator/>
      </w:r>
    </w:p>
  </w:endnote>
  <w:endnote w:id="1">
    <w:p w14:paraId="64C9C4F2" w14:textId="548AB189" w:rsidR="00DF319E" w:rsidRPr="006D05E0" w:rsidRDefault="00DF319E" w:rsidP="006D05E0">
      <w:pPr>
        <w:pStyle w:val="EndnoteText"/>
      </w:pPr>
      <w:bookmarkStart w:id="0" w:name="_GoBack"/>
      <w:bookmarkEnd w:id="0"/>
      <w:r>
        <w:rPr>
          <w:rStyle w:val="EndnoteReference"/>
        </w:rPr>
        <w:endnoteRef/>
      </w:r>
      <w:r>
        <w:t xml:space="preserve"> </w:t>
      </w:r>
      <w:r w:rsidRPr="006D05E0">
        <w:t>For more on this subject, see Coats (2000), Coats and Cheung (2012) and Callahan (201</w:t>
      </w:r>
      <w:r>
        <w:t>8</w:t>
      </w:r>
      <w:r w:rsidRPr="006D05E0">
        <w:t>)</w:t>
      </w:r>
      <w:r>
        <w:t>.</w:t>
      </w:r>
    </w:p>
    <w:p w14:paraId="786D55F0" w14:textId="71DD5E00" w:rsidR="00DF319E" w:rsidRDefault="00DF319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C081E" w14:textId="77777777" w:rsidR="004520AA" w:rsidRDefault="004520AA" w:rsidP="004D0DE8">
      <w:r>
        <w:separator/>
      </w:r>
    </w:p>
  </w:footnote>
  <w:footnote w:type="continuationSeparator" w:id="0">
    <w:p w14:paraId="3C824B72" w14:textId="77777777" w:rsidR="004520AA" w:rsidRDefault="004520AA" w:rsidP="004D0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6729"/>
      <w:docPartObj>
        <w:docPartGallery w:val="Page Numbers (Top of Page)"/>
        <w:docPartUnique/>
      </w:docPartObj>
    </w:sdtPr>
    <w:sdtEndPr>
      <w:rPr>
        <w:noProof/>
      </w:rPr>
    </w:sdtEndPr>
    <w:sdtContent>
      <w:p w14:paraId="1BABD9A1" w14:textId="77777777" w:rsidR="004D0DE8" w:rsidRDefault="004D0DE8">
        <w:pPr>
          <w:pStyle w:val="Header"/>
          <w:jc w:val="right"/>
        </w:pPr>
        <w:r>
          <w:fldChar w:fldCharType="begin"/>
        </w:r>
        <w:r>
          <w:instrText xml:space="preserve"> PAGE   \* MERGEFORMAT </w:instrText>
        </w:r>
        <w:r>
          <w:fldChar w:fldCharType="separate"/>
        </w:r>
        <w:r w:rsidR="00DC4FFE">
          <w:rPr>
            <w:noProof/>
          </w:rPr>
          <w:t>13</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1FE"/>
    <w:rsid w:val="00027F57"/>
    <w:rsid w:val="000459B6"/>
    <w:rsid w:val="00057A5D"/>
    <w:rsid w:val="00057F78"/>
    <w:rsid w:val="000971FE"/>
    <w:rsid w:val="000C55F0"/>
    <w:rsid w:val="00121104"/>
    <w:rsid w:val="00140088"/>
    <w:rsid w:val="00162388"/>
    <w:rsid w:val="001666B2"/>
    <w:rsid w:val="001B0122"/>
    <w:rsid w:val="00226E54"/>
    <w:rsid w:val="002339A5"/>
    <w:rsid w:val="00256B0A"/>
    <w:rsid w:val="00284363"/>
    <w:rsid w:val="002A0F6C"/>
    <w:rsid w:val="002D2C08"/>
    <w:rsid w:val="002D39FE"/>
    <w:rsid w:val="00302B97"/>
    <w:rsid w:val="0034455F"/>
    <w:rsid w:val="00347B8C"/>
    <w:rsid w:val="003565E2"/>
    <w:rsid w:val="003B451D"/>
    <w:rsid w:val="003C7CD0"/>
    <w:rsid w:val="003E060B"/>
    <w:rsid w:val="00432388"/>
    <w:rsid w:val="004520AA"/>
    <w:rsid w:val="00490494"/>
    <w:rsid w:val="004D0DE8"/>
    <w:rsid w:val="004D3B68"/>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6D05E0"/>
    <w:rsid w:val="00757CA4"/>
    <w:rsid w:val="007976D2"/>
    <w:rsid w:val="007D698B"/>
    <w:rsid w:val="008104CC"/>
    <w:rsid w:val="00830950"/>
    <w:rsid w:val="008331DC"/>
    <w:rsid w:val="00840331"/>
    <w:rsid w:val="00846D62"/>
    <w:rsid w:val="008879F9"/>
    <w:rsid w:val="00890B4D"/>
    <w:rsid w:val="008940F4"/>
    <w:rsid w:val="008A4D94"/>
    <w:rsid w:val="008A6131"/>
    <w:rsid w:val="008C07BA"/>
    <w:rsid w:val="008F46FE"/>
    <w:rsid w:val="0091228F"/>
    <w:rsid w:val="009535C8"/>
    <w:rsid w:val="00955F18"/>
    <w:rsid w:val="00964821"/>
    <w:rsid w:val="009A58B9"/>
    <w:rsid w:val="00A60C85"/>
    <w:rsid w:val="00A653E6"/>
    <w:rsid w:val="00A722F0"/>
    <w:rsid w:val="00A964AB"/>
    <w:rsid w:val="00AE5C56"/>
    <w:rsid w:val="00AF2416"/>
    <w:rsid w:val="00B17FF8"/>
    <w:rsid w:val="00B53951"/>
    <w:rsid w:val="00B757C4"/>
    <w:rsid w:val="00B90103"/>
    <w:rsid w:val="00B92B31"/>
    <w:rsid w:val="00BA53FC"/>
    <w:rsid w:val="00BE335A"/>
    <w:rsid w:val="00BF29F8"/>
    <w:rsid w:val="00C44B7E"/>
    <w:rsid w:val="00C56125"/>
    <w:rsid w:val="00C61E13"/>
    <w:rsid w:val="00C64893"/>
    <w:rsid w:val="00C71829"/>
    <w:rsid w:val="00D004B6"/>
    <w:rsid w:val="00D152F8"/>
    <w:rsid w:val="00D86C83"/>
    <w:rsid w:val="00DB457A"/>
    <w:rsid w:val="00DC4FFE"/>
    <w:rsid w:val="00DF319E"/>
    <w:rsid w:val="00E033B8"/>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 w:type="paragraph" w:styleId="FootnoteText">
    <w:name w:val="footnote text"/>
    <w:basedOn w:val="Normal"/>
    <w:link w:val="FootnoteTextChar"/>
    <w:uiPriority w:val="99"/>
    <w:semiHidden/>
    <w:unhideWhenUsed/>
    <w:rsid w:val="006D0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5E0"/>
    <w:rPr>
      <w:sz w:val="20"/>
      <w:szCs w:val="20"/>
    </w:rPr>
  </w:style>
  <w:style w:type="character" w:styleId="FootnoteReference">
    <w:name w:val="footnote reference"/>
    <w:basedOn w:val="DefaultParagraphFont"/>
    <w:uiPriority w:val="99"/>
    <w:semiHidden/>
    <w:unhideWhenUsed/>
    <w:rsid w:val="006D05E0"/>
    <w:rPr>
      <w:vertAlign w:val="superscript"/>
    </w:rPr>
  </w:style>
  <w:style w:type="paragraph" w:styleId="EndnoteText">
    <w:name w:val="endnote text"/>
    <w:basedOn w:val="Normal"/>
    <w:link w:val="EndnoteTextChar"/>
    <w:uiPriority w:val="99"/>
    <w:semiHidden/>
    <w:unhideWhenUsed/>
    <w:rsid w:val="00DF31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19E"/>
    <w:rPr>
      <w:sz w:val="20"/>
      <w:szCs w:val="20"/>
    </w:rPr>
  </w:style>
  <w:style w:type="character" w:styleId="EndnoteReference">
    <w:name w:val="endnote reference"/>
    <w:basedOn w:val="DefaultParagraphFont"/>
    <w:uiPriority w:val="99"/>
    <w:semiHidden/>
    <w:unhideWhenUsed/>
    <w:rsid w:val="00DF3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6342">
      <w:bodyDiv w:val="1"/>
      <w:marLeft w:val="0"/>
      <w:marRight w:val="0"/>
      <w:marTop w:val="0"/>
      <w:marBottom w:val="0"/>
      <w:divBdr>
        <w:top w:val="none" w:sz="0" w:space="0" w:color="auto"/>
        <w:left w:val="none" w:sz="0" w:space="0" w:color="auto"/>
        <w:bottom w:val="none" w:sz="0" w:space="0" w:color="auto"/>
        <w:right w:val="none" w:sz="0" w:space="0" w:color="auto"/>
      </w:divBdr>
    </w:div>
    <w:div w:id="794131389">
      <w:bodyDiv w:val="1"/>
      <w:marLeft w:val="0"/>
      <w:marRight w:val="0"/>
      <w:marTop w:val="0"/>
      <w:marBottom w:val="0"/>
      <w:divBdr>
        <w:top w:val="none" w:sz="0" w:space="0" w:color="auto"/>
        <w:left w:val="none" w:sz="0" w:space="0" w:color="auto"/>
        <w:bottom w:val="none" w:sz="0" w:space="0" w:color="auto"/>
        <w:right w:val="none" w:sz="0" w:space="0" w:color="auto"/>
      </w:divBdr>
    </w:div>
    <w:div w:id="992871693">
      <w:bodyDiv w:val="1"/>
      <w:marLeft w:val="0"/>
      <w:marRight w:val="0"/>
      <w:marTop w:val="0"/>
      <w:marBottom w:val="0"/>
      <w:divBdr>
        <w:top w:val="none" w:sz="0" w:space="0" w:color="auto"/>
        <w:left w:val="none" w:sz="0" w:space="0" w:color="auto"/>
        <w:bottom w:val="none" w:sz="0" w:space="0" w:color="auto"/>
        <w:right w:val="none" w:sz="0" w:space="0" w:color="auto"/>
      </w:divBdr>
    </w:div>
    <w:div w:id="1236234206">
      <w:bodyDiv w:val="1"/>
      <w:marLeft w:val="0"/>
      <w:marRight w:val="0"/>
      <w:marTop w:val="0"/>
      <w:marBottom w:val="0"/>
      <w:divBdr>
        <w:top w:val="none" w:sz="0" w:space="0" w:color="auto"/>
        <w:left w:val="none" w:sz="0" w:space="0" w:color="auto"/>
        <w:bottom w:val="none" w:sz="0" w:space="0" w:color="auto"/>
        <w:right w:val="none" w:sz="0" w:space="0" w:color="auto"/>
      </w:divBdr>
    </w:div>
    <w:div w:id="1560479446">
      <w:bodyDiv w:val="1"/>
      <w:marLeft w:val="0"/>
      <w:marRight w:val="0"/>
      <w:marTop w:val="0"/>
      <w:marBottom w:val="0"/>
      <w:divBdr>
        <w:top w:val="none" w:sz="0" w:space="0" w:color="auto"/>
        <w:left w:val="none" w:sz="0" w:space="0" w:color="auto"/>
        <w:bottom w:val="none" w:sz="0" w:space="0" w:color="auto"/>
        <w:right w:val="none" w:sz="0" w:space="0" w:color="auto"/>
      </w:divBdr>
    </w:div>
    <w:div w:id="16063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BB80D-D80E-014B-A9D4-C2BA1E34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8</cp:revision>
  <cp:lastPrinted>2019-01-23T17:56:00Z</cp:lastPrinted>
  <dcterms:created xsi:type="dcterms:W3CDTF">2019-08-18T04:35:00Z</dcterms:created>
  <dcterms:modified xsi:type="dcterms:W3CDTF">2019-09-09T13:06:00Z</dcterms:modified>
</cp:coreProperties>
</file>