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2C075518" w14:textId="77777777" w:rsidR="00DD4C91" w:rsidRDefault="001B6266">
      <w:pPr>
        <w:pStyle w:val="Heading2"/>
        <w:rPr>
          <w:rFonts w:eastAsia="Times New Roman"/>
        </w:rPr>
      </w:pPr>
      <w:r>
        <w:rPr>
          <w:rFonts w:eastAsia="Times New Roman"/>
        </w:rPr>
        <w:t xml:space="preserve">Introduction </w:t>
      </w:r>
    </w:p>
    <w:p w14:paraId="30584194" w14:textId="71B8CCB4"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w:t>
      </w:r>
      <w:r w:rsidR="00E37A1F">
        <w:t xml:space="preserve">inking. Hayek wrote that such an </w:t>
      </w:r>
      <w:r w:rsidR="001B6266">
        <w:t xml:space="preserve">exaltation of abstract reason had become so commonplace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p>
    <w:p w14:paraId="44D885A9" w14:textId="59920D6D"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06562298" w:rsidR="00DD4C91" w:rsidRDefault="001B6266" w:rsidP="00627AC3">
      <w:pPr>
        <w:pStyle w:val="FirstSectionPar"/>
        <w:ind w:firstLine="0"/>
      </w:pPr>
      <w:r>
        <w:t>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w:t>
      </w:r>
      <w:r w:rsidR="00BE7F62">
        <w:t>’</w:t>
      </w:r>
      <w:r>
        <w:t xml:space="preserve">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36D19AD9" w14:textId="77777777" w:rsidR="00DD4C91" w:rsidRDefault="001B6266">
      <w:pPr>
        <w:pStyle w:val="Heading3"/>
        <w:rPr>
          <w:rFonts w:eastAsia="Times New Roman"/>
        </w:rPr>
      </w:pPr>
      <w:r>
        <w:rPr>
          <w:rFonts w:eastAsia="Times New Roman"/>
        </w:rPr>
        <w:t xml:space="preserve">Comparing Hayek and Oakeshott </w:t>
      </w:r>
    </w:p>
    <w:p w14:paraId="36315767" w14:textId="748A4771" w:rsidR="00DD4C91" w:rsidRDefault="001B6266" w:rsidP="007844BF">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p>
    <w:p w14:paraId="1DF2DC04" w14:textId="5BCBD8B3" w:rsidR="00DD4C91" w:rsidRDefault="00E37A1F">
      <w:pPr>
        <w:pStyle w:val="NormalWeb"/>
      </w:pPr>
      <w:r>
        <w:t>But t</w:t>
      </w:r>
      <w:r w:rsidR="001B6266">
        <w:t>he most important precursor of this paper is Chor-yung Cheung</w:t>
      </w:r>
      <w:r w:rsidR="00BE7F62">
        <w:t>’</w:t>
      </w:r>
      <w:r w:rsidR="001B6266">
        <w:t xml:space="preserve">s (2014) </w:t>
      </w:r>
      <w:r w:rsidR="00BE7F62">
        <w:t>“</w:t>
      </w:r>
      <w:r w:rsidR="001B6266">
        <w:t>The Critique of Rationalism and the Defense of Individuality: Oakeshott and Hayek.</w:t>
      </w:r>
      <w:r w:rsidR="00BE7F62">
        <w:t>”</w:t>
      </w:r>
      <w:r w:rsidR="001B6266">
        <w:t xml:space="preserve"> In it, he presents a insightful analysis of how Oakeshott</w:t>
      </w:r>
      <w:r w:rsidR="00BE7F62">
        <w:t>’</w:t>
      </w:r>
      <w:r w:rsidR="001B6266">
        <w:t>s understanding of rationalism differs from Hayek</w:t>
      </w:r>
      <w:r w:rsidR="00BE7F62">
        <w:t>’</w:t>
      </w:r>
      <w:r w:rsidR="001B6266">
        <w:t>s</w:t>
      </w:r>
      <w:r>
        <w:t xml:space="preserve"> </w:t>
      </w:r>
      <w:r w:rsidR="001B6266">
        <w:t>close enough to that offered in this paper that, were it not for the fact that he never explicitly identifies the basis of the differences h</w:t>
      </w:r>
      <w:r w:rsidR="00931CCF">
        <w:t>e highlights, this paper would have been superfluous</w:t>
      </w:r>
      <w:r w:rsidR="001B6266">
        <w:t xml:space="preserve">. </w:t>
      </w:r>
    </w:p>
    <w:p w14:paraId="23D7612C" w14:textId="3645398C" w:rsidR="00DD4C91" w:rsidRDefault="001B6266">
      <w:pPr>
        <w:pStyle w:val="NormalWeb"/>
      </w:pPr>
      <w:r>
        <w:t xml:space="preserve">Cheung he notes that </w:t>
      </w:r>
      <w:r w:rsidR="00BE7F62">
        <w:t>“</w:t>
      </w:r>
      <w:r>
        <w:t>Hayek</w:t>
      </w:r>
      <w:r w:rsidR="00BE7F62">
        <w:t>’</w:t>
      </w:r>
      <w:r>
        <w:t>s philosophical perspective it is very likely blind to a lot of the things that Oakeshott has said regarding the poetic character of human activity</w:t>
      </w:r>
      <w:r w:rsidR="003A2AF9">
        <w:t>.</w:t>
      </w:r>
      <w:r w:rsidR="00BE7F62">
        <w:t>”</w:t>
      </w:r>
      <w:r>
        <w:t xml:space="preserve"> But he never makes explicit what it is that is different between Hayek</w:t>
      </w:r>
      <w:r w:rsidR="00BE7F62">
        <w:t>’</w:t>
      </w:r>
      <w:r>
        <w:t>s philosophical perspective and Oakeshott</w:t>
      </w:r>
      <w:r w:rsidR="00BE7F62">
        <w:t>’</w:t>
      </w:r>
      <w:r>
        <w:t xml:space="preserve">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204C1891"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scientific laws, legal rules, heuristics for deciding on practical courses of action, and so on. Working from this base, Hayek criticized </w:t>
      </w:r>
      <w:r w:rsidR="00BE7F62">
        <w:t>“</w:t>
      </w:r>
      <w:r>
        <w:t>rationalism</w:t>
      </w:r>
      <w:r w:rsidR="00BE7F62">
        <w:t>”</w:t>
      </w:r>
      <w:r>
        <w:t xml:space="preserve"> as a failure to recognize how limited 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w:t>
      </w:r>
      <w:r w:rsidR="00BE7F62">
        <w:t>“</w:t>
      </w:r>
      <w:r>
        <w:t>the particular 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0E6A3DAA" w14:textId="18BD86A1" w:rsidR="00AA6E40" w:rsidRDefault="001B6266" w:rsidP="00B85CA7">
      <w:pPr>
        <w:pStyle w:val="FirstSectionPar"/>
        <w:ind w:firstLine="0"/>
      </w:pPr>
      <w:r>
        <w:t xml:space="preserve">Hayek first began moving away from technical economics and into broader issues of social philosophy with his essays, </w:t>
      </w:r>
      <w:r w:rsidR="00BE7F62">
        <w:t>“</w:t>
      </w:r>
      <w:r>
        <w:t>Economics and Knowledge</w:t>
      </w:r>
      <w:r w:rsidR="00BE7F62">
        <w:t>”</w:t>
      </w:r>
      <w:r>
        <w:t xml:space="preserve"> (1937) and </w:t>
      </w:r>
      <w:r w:rsidR="00BE7F62">
        <w:t>“</w:t>
      </w:r>
      <w:r>
        <w:t>The Use of Knowledge in Society</w:t>
      </w:r>
      <w:r w:rsidR="00BE7F62">
        <w:t>”</w:t>
      </w:r>
      <w:r>
        <w:t xml:space="preserve"> (1945). </w:t>
      </w:r>
    </w:p>
    <w:p w14:paraId="4206E625" w14:textId="65C695B5" w:rsidR="00DD4C91" w:rsidRDefault="001B6266" w:rsidP="00B85CA7">
      <w:pPr>
        <w:pStyle w:val="FirstSectionPar"/>
        <w:ind w:firstLine="0"/>
      </w:pPr>
      <w:r>
        <w:t xml:space="preserve">In the first of these essays, Hayek recognizes the limitations of the abstractions of formal economic analysis in the following passage: </w:t>
      </w:r>
    </w:p>
    <w:p w14:paraId="1DB7F4B5" w14:textId="7C1F40F5" w:rsidR="00DD4C91" w:rsidRPr="00B85CA7" w:rsidRDefault="001B6266" w:rsidP="003A2AF9">
      <w:pPr>
        <w:pStyle w:val="ExtendedQuote"/>
        <w:divId w:val="139729970"/>
      </w:pPr>
      <w:r w:rsidRPr="00B85CA7">
        <w:t>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Fonts w:eastAsia="Times New Roman"/>
          <w:sz w:val="24"/>
        </w:rPr>
        <w:t xml:space="preserve"> </w:t>
      </w:r>
      <w:r w:rsidRPr="00B85CA7">
        <w:t xml:space="preserve"> </w:t>
      </w:r>
    </w:p>
    <w:p w14:paraId="3533805F" w14:textId="10EF43D9" w:rsidR="00DD4C91" w:rsidRDefault="001B6266" w:rsidP="00B85CA7">
      <w:pPr>
        <w:pStyle w:val="FirstSectionPar"/>
        <w:ind w:firstLine="0"/>
      </w:pPr>
      <w:r>
        <w:t>And Hayek indicates the falsify</w:t>
      </w:r>
      <w:r w:rsidR="00AA6E40">
        <w:t>ing nature of abstraction here in his comments on general equilibrium analysis.</w:t>
      </w:r>
    </w:p>
    <w:p w14:paraId="79D805E1" w14:textId="1BC55374" w:rsidR="00DD4C91" w:rsidRDefault="001B6266" w:rsidP="00B85CA7">
      <w:pPr>
        <w:pStyle w:val="FirstSectionPar"/>
        <w:ind w:firstLine="0"/>
      </w:pPr>
      <w:r>
        <w:t xml:space="preserve">In </w:t>
      </w:r>
      <w:r w:rsidR="00BE7F62">
        <w:t>“</w:t>
      </w:r>
      <w:r>
        <w:t>The Use of Knowledge in Society,</w:t>
      </w:r>
      <w:r w:rsidR="00BE7F62">
        <w:t>”</w:t>
      </w:r>
      <w:r>
        <w:t xml:space="preserve"> Hayek furthers his exploration of the social aspect of economic decision making begun in </w:t>
      </w:r>
      <w:r w:rsidR="00BE7F62">
        <w:t>“</w:t>
      </w:r>
      <w:r>
        <w:t>Economics and Knowledge.</w:t>
      </w:r>
      <w:r w:rsidR="00BE7F62">
        <w:t>”</w:t>
      </w:r>
      <w:r>
        <w:t xml:space="preserve"> </w:t>
      </w:r>
      <w:r w:rsidR="00AA6E40">
        <w:t>In one</w:t>
      </w:r>
      <w:r>
        <w:t xml:space="preserve"> passage, Hayek nearly hits upon the idea of the </w:t>
      </w:r>
      <w:r w:rsidR="00BE7F62">
        <w:t>“</w:t>
      </w:r>
      <w:r>
        <w:t>concrete universal</w:t>
      </w:r>
      <w:r w:rsidR="00BE7F62">
        <w:t>”</w:t>
      </w:r>
      <w:r>
        <w:t xml:space="preserve">: </w:t>
      </w:r>
    </w:p>
    <w:p w14:paraId="6F668D35" w14:textId="560C039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0EC7984A"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w:t>
      </w:r>
      <w:r w:rsidR="00E37A1F">
        <w:t>egarded with a kind of contempt…</w:t>
      </w:r>
    </w:p>
    <w:p w14:paraId="04CDEBBD" w14:textId="609A6C74" w:rsidR="00DD4C91" w:rsidRDefault="001B6266" w:rsidP="00B85CA7">
      <w:pPr>
        <w:pStyle w:val="FirstSectionPar"/>
        <w:ind w:firstLine="0"/>
      </w:pPr>
      <w:r>
        <w:t>But Hayek</w:t>
      </w:r>
      <w:r w:rsidR="00BE7F62">
        <w:t>’</w:t>
      </w:r>
      <w:r>
        <w:t xml:space="preserve">s philosophical perspective does not allow him to fully appreciate his </w:t>
      </w:r>
      <w:r w:rsidR="00E37A1F">
        <w:t>own quite salutary insights, as</w:t>
      </w:r>
      <w:r>
        <w:t xml:space="preserve"> </w:t>
      </w:r>
      <w:r w:rsidR="00E37A1F">
        <w:t>I</w:t>
      </w:r>
      <w:r>
        <w:t xml:space="preserve"> will </w:t>
      </w:r>
      <w:r w:rsidR="00E37A1F">
        <w:t>explain</w:t>
      </w:r>
      <w:r>
        <w:t xml:space="preserve">.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47A90672"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02967868" w14:textId="6CA5FB8D" w:rsidR="00DD4C91" w:rsidRDefault="001B6266" w:rsidP="00E37A1F">
      <w:pPr>
        <w:pStyle w:val="NormalWeb"/>
      </w:pPr>
      <w:r>
        <w:t>Hayek goes on to contend explicitly that the concrete is dependent upon the abstract</w:t>
      </w:r>
      <w:r w:rsidR="00E37A1F">
        <w:t>.</w:t>
      </w:r>
      <w:r>
        <w:t xml:space="preserve"> </w:t>
      </w:r>
      <w:r w:rsidR="00CD3CF9">
        <w:t>Hayek</w:t>
      </w:r>
      <w:r w:rsidR="00BE7F62">
        <w:t>’</w:t>
      </w:r>
      <w:r>
        <w:t xml:space="preserve">s thought runs aground in this regard because he had not recognized the significance of the revolution in philosophy initiated by Hegel: he had not grasped the idea of the </w:t>
      </w:r>
      <w:r w:rsidR="00BE7F62">
        <w:t>“</w:t>
      </w:r>
      <w:r>
        <w:t>concrete universal.</w:t>
      </w:r>
      <w:r w:rsidR="00BE7F62">
        <w:t>”</w:t>
      </w:r>
      <w:r>
        <w:t xml:space="preserve"> On the other hand, Oakeshott</w:t>
      </w:r>
      <w:r w:rsidR="00BE7F62">
        <w:t>’</w:t>
      </w:r>
      <w:r>
        <w:t xml:space="preserve">s critique of rationalism is based upon that very concept. </w:t>
      </w:r>
    </w:p>
    <w:p w14:paraId="6195D903" w14:textId="0DDC52E2" w:rsidR="00DD4C91" w:rsidRDefault="001B6266" w:rsidP="004C0D46">
      <w:pPr>
        <w:pStyle w:val="Heading3"/>
        <w:rPr>
          <w:rFonts w:eastAsia="Times New Roman"/>
        </w:rPr>
      </w:pPr>
      <w:r>
        <w:rPr>
          <w:rFonts w:eastAsia="Times New Roman"/>
        </w:rPr>
        <w:t>Hayek</w:t>
      </w:r>
      <w:r w:rsidR="00BE7F62">
        <w:rPr>
          <w:rFonts w:eastAsia="Times New Roman"/>
        </w:rPr>
        <w:t>’</w:t>
      </w:r>
      <w:r>
        <w:rPr>
          <w:rFonts w:eastAsia="Times New Roman"/>
        </w:rPr>
        <w:t xml:space="preserve">s Critique of Conservatism </w:t>
      </w:r>
    </w:p>
    <w:p w14:paraId="29BD5D0F" w14:textId="77777777" w:rsidR="00DD4C91" w:rsidRDefault="001B6266">
      <w:pPr>
        <w:pStyle w:val="Heading3"/>
        <w:rPr>
          <w:rFonts w:eastAsia="Times New Roman"/>
        </w:rPr>
      </w:pPr>
      <w:r>
        <w:rPr>
          <w:rFonts w:eastAsia="Times New Roman"/>
        </w:rPr>
        <w:t xml:space="preserve">Law, Legislation and Liberty </w:t>
      </w:r>
    </w:p>
    <w:p w14:paraId="304FBF18" w14:textId="12D22404" w:rsidR="00DD4C91" w:rsidRDefault="001B6266" w:rsidP="00B85CA7">
      <w:pPr>
        <w:pStyle w:val="FirstSectionPar"/>
        <w:ind w:firstLine="0"/>
      </w:pPr>
      <w:r>
        <w:t>However, 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7E62D1BC" w14:textId="685E1A7A" w:rsidR="00DD4C91" w:rsidRDefault="001B6266" w:rsidP="001F06CF">
      <w:pPr>
        <w:pStyle w:val="ExtendedQuote"/>
        <w:divId w:val="48850191"/>
      </w:pPr>
      <w:r>
        <w:t>Yet the basic assumption underlying the belief that man has achieved mastery of his surroundings mainly through his capacity for logical deduction from expli</w:t>
      </w:r>
      <w:r w:rsidR="00E4208F">
        <w:t>cit premises is factually false…</w:t>
      </w:r>
      <w:r>
        <w:t xml:space="preserve"> It is simply not true that our actions owe their effectiveness solely or chiefly to the knowledge which we can state in words and which can therefore constitute the explicit premises of a syllogism.</w:t>
      </w:r>
    </w:p>
    <w:p w14:paraId="30150738" w14:textId="7621F1AB"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so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w:t>
      </w:r>
    </w:p>
    <w:p w14:paraId="39C7A2B4" w14:textId="548A5E24" w:rsidR="00DD4C91" w:rsidRPr="00E4208F" w:rsidRDefault="001B6266" w:rsidP="00E4208F">
      <w:pPr>
        <w:pStyle w:val="Heading3"/>
        <w:rPr>
          <w:rFonts w:eastAsia="Times New Roman"/>
        </w:rPr>
      </w:pPr>
      <w:r>
        <w:rPr>
          <w:rFonts w:eastAsia="Times New Roman"/>
        </w:rPr>
        <w:t xml:space="preserve">The Fatal Conceit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4137B4B3"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w:t>
      </w:r>
      <w:r w:rsidR="006A261C">
        <w:t>,</w:t>
      </w:r>
      <w:r>
        <w:t xml:space="preserve"> when Oakeshott attacks rationalism, he is not claiming that it is a case of reason going </w:t>
      </w:r>
      <w:r w:rsidR="006A261C">
        <w:t>beyond its limits</w:t>
      </w:r>
      <w:r>
        <w:t>. Instead, rationalism for Oakeshott is the attempt to replace practical reason (</w:t>
      </w:r>
      <w:r>
        <w:rPr>
          <w:i/>
          <w:iCs/>
        </w:rPr>
        <w:t>phronesis</w:t>
      </w:r>
      <w:r>
        <w:t>) with abstract, theoretical reason (</w:t>
      </w:r>
      <w:r>
        <w:rPr>
          <w:i/>
          <w:iCs/>
        </w:rPr>
        <w:t>theoria</w:t>
      </w:r>
      <w:r>
        <w:t xml:space="preserve">). </w:t>
      </w:r>
    </w:p>
    <w:p w14:paraId="6A904063" w14:textId="2504BE6D" w:rsidR="00DD4C91" w:rsidRDefault="006A261C">
      <w:pPr>
        <w:pStyle w:val="NormalWeb"/>
      </w:pPr>
      <w:r>
        <w:t>I contend that</w:t>
      </w:r>
      <w:r w:rsidR="001B6266">
        <w:t xml:space="preserve"> the difference between Hayek and Oakeshott </w:t>
      </w:r>
      <w:r>
        <w:t xml:space="preserve">here </w:t>
      </w:r>
      <w:r w:rsidR="001B6266">
        <w:t>turns crucially on Oakeshott</w:t>
      </w:r>
      <w:r w:rsidR="00BE7F62">
        <w:t>’</w:t>
      </w:r>
      <w:r w:rsidR="001B6266">
        <w:t xml:space="preserve">s heritage of British idealist thought. For example, here is R. G. Collingwood expressing the idealist emphasis on the concrete: </w:t>
      </w:r>
    </w:p>
    <w:p w14:paraId="3B031352" w14:textId="30D3EBE7" w:rsidR="00DD4C91" w:rsidRDefault="001B6266" w:rsidP="001E2DB7">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p>
    <w:p w14:paraId="00090636" w14:textId="52EE6A7D" w:rsidR="00DD4C91" w:rsidRDefault="001B6266">
      <w:pPr>
        <w:pStyle w:val="NormalWeb"/>
      </w:pPr>
      <w:r>
        <w:t xml:space="preserve">In shorter form, Bernard Bosanquet wrote: </w:t>
      </w:r>
      <w:r w:rsidR="00BE7F62">
        <w:t>“</w:t>
      </w:r>
      <w:r>
        <w:t>the fullest universal of character and consciousness will embody itself in the finest and most specialized and unrepeatable responses to environment</w:t>
      </w:r>
      <w:r w:rsidR="00BE7F62">
        <w:t>”</w:t>
      </w:r>
      <w:r>
        <w:t>.</w:t>
      </w:r>
    </w:p>
    <w:p w14:paraId="753FFBCA" w14:textId="06E7C96E"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Instead, abstract reasoning is always a partial and therefore defective (although perhaps very useful!) form of reason, and concrete reason is always its superior. And H</w:t>
      </w:r>
      <w:r w:rsidR="006A261C">
        <w:t>ayek never fully recognizes the latter</w:t>
      </w:r>
      <w:r>
        <w:t xml:space="preserve">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5F89D6D2"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particular presuppositions,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xml:space="preserve">, but also makes them categorically distinct. Each mode is constituted by its own presuppositions, so that no mode is in a position to dictate to any of the others. </w:t>
      </w:r>
      <w:r w:rsidR="00AD063D">
        <w:t>W</w:t>
      </w:r>
      <w:r>
        <w:t>hat is most relevant</w:t>
      </w:r>
      <w:r w:rsidR="00AD063D">
        <w:t xml:space="preserve"> here</w:t>
      </w:r>
      <w:r>
        <w:t xml:space="preserve"> is Oakeshott</w:t>
      </w:r>
      <w:r w:rsidR="00BE7F62">
        <w:t>’</w:t>
      </w:r>
      <w:r>
        <w:t>s claim that science has no authority</w:t>
      </w:r>
      <w:r w:rsidR="00AD063D">
        <w:t xml:space="preserve"> over practice. T</w:t>
      </w:r>
      <w:r>
        <w: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w:t>
      </w:r>
      <w:r w:rsidR="00AD063D">
        <w:t xml:space="preserve"> Science</w:t>
      </w:r>
      <w:r>
        <w:t xml:space="preserve">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w:t>
      </w:r>
      <w:r w:rsidR="00AD063D">
        <w:t>…</w:t>
      </w:r>
      <w:r w:rsidR="00BE7F62">
        <w:t>’</w:t>
      </w:r>
    </w:p>
    <w:p w14:paraId="029C0894" w14:textId="32FCE415"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t xml:space="preserve"> </w:t>
      </w:r>
      <w:r>
        <w:t xml:space="preserve">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t>
      </w:r>
      <w:r w:rsidR="00BE7F62">
        <w:t>‘</w:t>
      </w:r>
      <w:r>
        <w:t>Will this particular building, built as designed at this particular location, provide an adequate safety margin for this particular predicted earthquake level and these particular wind shears while meeting this particular cost constraint?</w:t>
      </w:r>
      <w:r w:rsidR="00BE7F62">
        <w:t>’</w:t>
      </w:r>
      <w:r>
        <w:t xml:space="preserve"> Those specifics, the inclusion of which is vital for any successful solution to the engineer</w:t>
      </w:r>
      <w:r w:rsidR="00BE7F62">
        <w:t>’</w:t>
      </w:r>
      <w:r>
        <w:t>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w:t>
      </w:r>
      <w:r w:rsidR="00AD063D">
        <w:t>ding to her personal ambitions.</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3A2950B9" w:rsidR="00DD4C91" w:rsidRDefault="001B6266" w:rsidP="00B85CA7">
      <w:pPr>
        <w:pStyle w:val="FirstSectionPar"/>
        <w:ind w:firstLine="0"/>
      </w:pPr>
      <w:r>
        <w:t>Oakeshott</w:t>
      </w:r>
      <w:r w:rsidR="00BE7F62">
        <w:t>’</w:t>
      </w:r>
      <w:r>
        <w:t xml:space="preserve">s most famous work, on rationalism in politics and in conduct, flows directly from the philosophical ideas put forward in </w:t>
      </w:r>
      <w:r>
        <w:rPr>
          <w:i/>
          <w:iCs/>
        </w:rPr>
        <w:t>Experience and Its Modes</w:t>
      </w:r>
      <w:r>
        <w:t>. The</w:t>
      </w:r>
      <w:r w:rsidR="00943480">
        <w:t>se essays argue that the</w:t>
      </w:r>
      <w:r>
        <w:t xml:space="preserve"> rationalist misapplies the standards of one mode (theoretical science) in another mode (practice) where they are categorically irrelevant. </w:t>
      </w:r>
    </w:p>
    <w:p w14:paraId="3534E4B0" w14:textId="6E22818A" w:rsidR="00DD4C91" w:rsidRDefault="001B6266">
      <w:pPr>
        <w:pStyle w:val="NormalWeb"/>
      </w:pPr>
      <w:r>
        <w:t xml:space="preserve">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approach any activity with a </w:t>
      </w:r>
      <w:r>
        <w:rPr>
          <w:i/>
          <w:iCs/>
        </w:rPr>
        <w:t>tabula rasa</w:t>
      </w:r>
      <w:r>
        <w:t xml:space="preserve"> upon which the correct technique for that activity can be cleanly inscribed</w:t>
      </w:r>
      <w:r w:rsidR="00943480">
        <w:t>.</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4CC9EE70"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w:t>
      </w:r>
      <w:r w:rsidR="00943480">
        <w:t xml:space="preserve"> supposedly guides his conduct.</w:t>
      </w:r>
    </w:p>
    <w:p w14:paraId="347232FC" w14:textId="0374E28A" w:rsidR="00DD4C91" w:rsidRDefault="001B6266">
      <w:pPr>
        <w:pStyle w:val="NormalWeb"/>
      </w:pPr>
      <w:r>
        <w:t>However, Oakeshott</w:t>
      </w:r>
      <w:r w:rsidR="00BE7F62">
        <w:t>’</w:t>
      </w:r>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w:t>
      </w:r>
      <w:r w:rsidR="00BE7F62">
        <w:t>’</w:t>
      </w:r>
      <w:r>
        <w:t xml:space="preserve">t become one, but they will make themselves look ridiculous and hamper their day-to-day activities. As Collingwood wrote, </w:t>
      </w:r>
      <w:r w:rsidR="00BE7F62">
        <w:t>‘</w:t>
      </w:r>
      <w:r>
        <w:t>A person may think he is a poached egg; that will not make him one: but it will affect his conduct, and for the worse</w:t>
      </w:r>
      <w:r w:rsidR="001F06CF">
        <w:t>.</w:t>
      </w:r>
      <w:r w:rsidR="00BE7F62">
        <w:t>’</w:t>
      </w:r>
    </w:p>
    <w:p w14:paraId="1C1ABEFF" w14:textId="348D36D8" w:rsidR="00DD4C91" w:rsidRDefault="001B6266">
      <w:pPr>
        <w:pStyle w:val="NormalWeb"/>
      </w:pPr>
      <w:r>
        <w:t>It does not follow, from Oakeshott</w:t>
      </w:r>
      <w:r w:rsidR="00BE7F62">
        <w:t>’</w:t>
      </w:r>
      <w:r>
        <w:t xml:space="preserve">s view of the rationalist project as ruinously misguided, that all traditional practices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The political </w:t>
      </w:r>
      <w:r w:rsidR="00A4103F">
        <w:t>thinker</w:t>
      </w:r>
      <w:r>
        <w:t xml:space="preserve">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FE28DA">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287DC334"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7E293F96" w:rsidR="00DD4C91" w:rsidRDefault="001B6266" w:rsidP="00B85CA7">
      <w:pPr>
        <w:pStyle w:val="FirstSectionPar"/>
        <w:ind w:firstLine="0"/>
      </w:pPr>
      <w:r>
        <w:t xml:space="preserve">In </w:t>
      </w:r>
      <w:r>
        <w:rPr>
          <w:i/>
          <w:iCs/>
        </w:rPr>
        <w:t>On Human Conduct</w:t>
      </w:r>
      <w:r>
        <w:t>, published in 1975, Oakeshott presents another pair of dichotomous ideal types, the first of which is that of the practitioner and the theorist. Oakeshott opens this work with a lengthy meditation on the nature of theorizing. As he concludes that section, he segues into the discussion of the practice/theory dichotomy by noting the debt his analysis owes to Plato</w:t>
      </w:r>
      <w:r w:rsidR="00BE7F62">
        <w:t>’</w:t>
      </w:r>
      <w:r>
        <w:t xml:space="preserve">s metaphor of the cave presented in </w:t>
      </w:r>
      <w:r>
        <w:rPr>
          <w:i/>
          <w:iCs/>
        </w:rPr>
        <w:t>The Republic</w:t>
      </w:r>
      <w:r>
        <w:t xml:space="preserve">. In light of the similarity of their views, Oakeshott continued, </w:t>
      </w:r>
      <w:r w:rsidR="00BE7F62">
        <w:t>‘</w:t>
      </w:r>
      <w:r>
        <w:t>it may be instructiv</w:t>
      </w:r>
      <w:r w:rsidR="00321EAC">
        <w:t>e to notice [our] divergencies.</w:t>
      </w:r>
      <w:r w:rsidR="00BE7F62">
        <w:t>’</w:t>
      </w:r>
      <w:r w:rsidR="00321EAC">
        <w:t xml:space="preserve"> </w:t>
      </w:r>
      <w:r>
        <w:t xml:space="preserve">And indeed it may. </w:t>
      </w:r>
    </w:p>
    <w:p w14:paraId="4DCBDF9D" w14:textId="5B0C4261" w:rsidR="00DD4C91" w:rsidRDefault="001B6266">
      <w:pPr>
        <w:pStyle w:val="NormalWeb"/>
      </w:pPr>
      <w:r>
        <w:t>As Oakeshott understood Plato, the latter</w:t>
      </w:r>
      <w:r w:rsidR="00BE7F62">
        <w:t>’</w:t>
      </w:r>
      <w:r>
        <w:t>s cave dwellers represent those individuals whose conceptual horizon is bound within the world of practical affairs.</w:t>
      </w:r>
      <w:r w:rsidR="00A4103F">
        <w:t xml:space="preserve"> Plato was correct</w:t>
      </w:r>
      <w:r>
        <w:t xml:space="preserve">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w:t>
      </w:r>
      <w:r w:rsidR="00BE7F62">
        <w:t>’</w:t>
      </w:r>
      <w:r>
        <w:t xml:space="preserve">s cave). And Plato also was accurate in regarding the understanding of the theorist, in that it represents at least a recognition of those limitations, as being, in a sense, a higher form of knowledge than that gained by the solely practical thinker. </w:t>
      </w:r>
    </w:p>
    <w:p w14:paraId="214E6E24" w14:textId="005B5DD5" w:rsidR="00DD4C91" w:rsidRDefault="001B6266">
      <w:pPr>
        <w:pStyle w:val="NormalWeb"/>
      </w:pPr>
      <w:r>
        <w:t xml:space="preserve">However, Oakeshott argued, </w:t>
      </w:r>
      <w:r w:rsidR="00BE7F62">
        <w:t>‘</w:t>
      </w:r>
      <w:r>
        <w:t>distracted by his exclusive concern with the engagement of theoretical understanding and with the manifest shortcomings of [the cave-dwellers</w:t>
      </w:r>
      <w:r w:rsidR="00BE7F62">
        <w:t>’</w:t>
      </w:r>
      <w:r>
        <w:t xml:space="preserve"> world]... [Plato] is disposed to write [the latter] off as nescienc</w:t>
      </w:r>
      <w:r w:rsidR="00321EAC">
        <w:t>e. This, I think, is a mistake.</w:t>
      </w:r>
      <w:r w:rsidR="00FE28DA">
        <w:t>’</w:t>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While it is true that discovering </w:t>
      </w:r>
      <w:r w:rsidR="00BE7F62">
        <w:t>‘</w:t>
      </w:r>
      <w:r>
        <w:t>a platform of understanding is conditional and to become acquainted with its proximate conditions 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p>
    <w:p w14:paraId="58E42854" w14:textId="35F4887C" w:rsidR="00DD4C91" w:rsidRDefault="001B6266">
      <w:pPr>
        <w:pStyle w:val="NormalWeb"/>
      </w:pPr>
      <w:r>
        <w:t xml:space="preserve">Given that genuine knowledge of the realm of the shadows is a real and hard-won achievement, the theorist goes gravely astray if he employs his theoretical insights as grounds for issuing directives to accomplished practitioners, ridiculously trying to </w:t>
      </w:r>
      <w:r w:rsidR="00BE7F62">
        <w:t>‘</w:t>
      </w:r>
      <w:r>
        <w:t>set them straight</w:t>
      </w:r>
      <w:r w:rsidR="00BE7F62">
        <w:t>’</w:t>
      </w:r>
      <w:r>
        <w:t xml:space="preserve"> on matters with which the theorist has no familiarity. Oakeshott wryly noted: </w:t>
      </w:r>
    </w:p>
    <w:p w14:paraId="43EC02C5" w14:textId="177D2E46" w:rsidR="00DD4C91" w:rsidRDefault="001B6266" w:rsidP="00321EAC">
      <w:pPr>
        <w:pStyle w:val="ExtendedQuote"/>
        <w:divId w:val="442310263"/>
      </w:pPr>
      <w:r>
        <w:t xml:space="preserve">The cave-dwellers, upon first encountering the theorist after his return to the world of the shadows [very well might be impressed] when he tells them that what they had always thought of as </w:t>
      </w:r>
      <w:r w:rsidR="00BE7F62">
        <w:t>‘</w:t>
      </w:r>
      <w:r>
        <w:t>a horse</w:t>
      </w:r>
      <w:r w:rsidR="00BE7F62">
        <w:t>’</w:t>
      </w:r>
      <w:r>
        <w:t xml:space="preserve"> is not what they suppose it to be... but is, on the contrary, a modification of the attributes of God [, and they will] applaud his performance even where they cannot quite follow it.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w:t>
      </w:r>
      <w:r w:rsidR="00BE7F62">
        <w:t>‘</w:t>
      </w:r>
      <w:r>
        <w:t>theoretician</w:t>
      </w:r>
      <w:r w:rsidR="00BE7F62">
        <w:t>’</w:t>
      </w:r>
      <w:r>
        <w:t xml:space="preserve"> who should be sent on his travels again, o</w:t>
      </w:r>
      <w:r w:rsidR="00321EAC">
        <w:t>r accommodated in a quiet home.</w:t>
      </w:r>
    </w:p>
    <w:p w14:paraId="50331AC1" w14:textId="408E7D4B" w:rsidR="00DD4C91" w:rsidRDefault="00A4103F" w:rsidP="00B85CA7">
      <w:pPr>
        <w:pStyle w:val="FirstSectionPar"/>
        <w:ind w:firstLine="0"/>
      </w:pPr>
      <w:r>
        <w:t xml:space="preserve">This </w:t>
      </w:r>
      <w:r w:rsidR="001B6266">
        <w:t xml:space="preserve">provides a fresh perspective </w:t>
      </w:r>
      <w:r>
        <w:t>on</w:t>
      </w:r>
      <w:r w:rsidR="001B6266">
        <w:t xml:space="preserve"> the character of the rationalist and how it is that he has gone astray. Here, the modern rationalist is understood as an imperialist </w:t>
      </w:r>
      <w:r w:rsidR="00BE7F62">
        <w:t>‘</w:t>
      </w:r>
      <w:r w:rsidR="001B6266">
        <w:t>theoretician</w:t>
      </w:r>
      <w:r w:rsidR="00BE7F62">
        <w:t>’</w:t>
      </w:r>
      <w:r w:rsidR="001B6266">
        <w:t xml:space="preserve"> who is repeating Plato</w:t>
      </w:r>
      <w:r w:rsidR="00BE7F62">
        <w:t>’</w:t>
      </w:r>
      <w:r w:rsidR="001B6266">
        <w:t>s ancient misstep. Furthermore, Oakeshott now offers a more sympathetic picture of the rationalist than did his earlier, more polemical essays</w:t>
      </w:r>
      <w:r w:rsidR="002B07B0">
        <w:rPr>
          <w:rFonts w:ascii="Helvetica" w:eastAsia="Helvetica" w:hAnsi="Helvetica" w:cs="Helvetica"/>
        </w:rPr>
        <w:t>—</w:t>
      </w:r>
      <w:r w:rsidR="001B6266">
        <w:t xml:space="preserve">the reader can appreciate how easy it is to fall into the error of rationalism, since the theorist really has broken through to a </w:t>
      </w:r>
      <w:r>
        <w:t>new</w:t>
      </w:r>
      <w:r w:rsidR="001B6266">
        <w:t xml:space="preserve"> form of knowledge, and it is quite understandable that, elated by his achievement, he mistakenly concludes that theory ought to be the unquestioned master of practice, failing to realize </w:t>
      </w:r>
      <w:r>
        <w:t>that</w:t>
      </w:r>
      <w:r w:rsidR="001B6266">
        <w:t xml:space="preserve"> theoretical findings </w:t>
      </w:r>
      <w:r>
        <w:t xml:space="preserve">are </w:t>
      </w:r>
      <w:r w:rsidR="001B6266">
        <w:t xml:space="preserve">categorically irrelevant to practical matters. </w:t>
      </w:r>
    </w:p>
    <w:p w14:paraId="53963A20" w14:textId="77777777" w:rsidR="00DD4C91" w:rsidRDefault="001B6266">
      <w:pPr>
        <w:pStyle w:val="Heading3"/>
        <w:rPr>
          <w:rFonts w:eastAsia="Times New Roman"/>
        </w:rPr>
      </w:pPr>
      <w:r>
        <w:rPr>
          <w:rFonts w:eastAsia="Times New Roman"/>
        </w:rPr>
        <w:t xml:space="preserve">On History </w:t>
      </w:r>
    </w:p>
    <w:p w14:paraId="2A40C496" w14:textId="33E45201" w:rsidR="00BE0145" w:rsidRDefault="001B6266" w:rsidP="00B85CA7">
      <w:pPr>
        <w:pStyle w:val="FirstSectionPar"/>
        <w:ind w:firstLine="0"/>
      </w:pPr>
      <w:r>
        <w:rPr>
          <w:i/>
          <w:iCs/>
        </w:rPr>
        <w:t>On History</w:t>
      </w:r>
      <w:r>
        <w:t xml:space="preserve"> is most significant for our purposes in that it refutes writers such as Gerencser who contend that Oakeshott had at some point abandoned idealism for skepticism. </w:t>
      </w:r>
    </w:p>
    <w:p w14:paraId="67338E9A" w14:textId="77777777" w:rsidR="00DD4C91" w:rsidRDefault="001B6266">
      <w:pPr>
        <w:pStyle w:val="Heading2"/>
        <w:rPr>
          <w:rFonts w:eastAsia="Times New Roman"/>
        </w:rPr>
      </w:pPr>
      <w:r>
        <w:rPr>
          <w:rFonts w:eastAsia="Times New Roman"/>
        </w:rPr>
        <w:t xml:space="preserve">Conclusion </w:t>
      </w:r>
    </w:p>
    <w:p w14:paraId="3FF2862F" w14:textId="57C4E0C1"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w:t>
      </w:r>
      <w:r w:rsidR="00BE7F62">
        <w:t>“</w:t>
      </w:r>
      <w:r>
        <w:t>nonrational</w:t>
      </w:r>
      <w:r w:rsidR="00BE7F62">
        <w:t>”</w:t>
      </w:r>
      <w:r>
        <w:t xml:space="preserve"> traditions, or emotion. Hayek believes that the relationships that make up his </w:t>
      </w:r>
      <w:r w:rsidR="00BE7F62">
        <w:t>‘</w:t>
      </w:r>
      <w:r>
        <w:t>Great Society</w:t>
      </w:r>
      <w:r w:rsidR="00BE7F62">
        <w:t>’</w:t>
      </w:r>
      <w:r>
        <w:t xml:space="preserve"> are abstract because the </w:t>
      </w:r>
      <w:r>
        <w:rPr>
          <w:i/>
          <w:iCs/>
        </w:rPr>
        <w:t>theory</w:t>
      </w:r>
      <w:r>
        <w:t xml:space="preserve"> of such relationships is </w:t>
      </w:r>
      <w:bookmarkStart w:id="0" w:name="_GoBack"/>
      <w:bookmarkEnd w:id="0"/>
      <w:r>
        <w:t xml:space="preserve">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02B62864"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exists, and once its existence is recognized, we can address the practical problems of the world reasonably, and not as abstractions. Thus, Oakeshott</w:t>
      </w:r>
      <w:r w:rsidR="00BE7F62">
        <w:t>’</w:t>
      </w:r>
      <w:r>
        <w:t xml:space="preserve">s understanding of rationalism provides a more robust defense of practical reason and </w:t>
      </w:r>
      <w:r w:rsidR="003A108A">
        <w:t xml:space="preserve">of </w:t>
      </w:r>
      <w:r>
        <w:t>tradition than does Hayek</w:t>
      </w:r>
      <w:r w:rsidR="00BE7F62">
        <w:t>’</w:t>
      </w:r>
      <w:r>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32D5D" w14:textId="77777777" w:rsidR="00CA2485" w:rsidRDefault="00CA2485" w:rsidP="00615EBF">
      <w:pPr>
        <w:spacing w:line="240" w:lineRule="auto"/>
      </w:pPr>
      <w:r>
        <w:separator/>
      </w:r>
    </w:p>
  </w:endnote>
  <w:endnote w:type="continuationSeparator" w:id="0">
    <w:p w14:paraId="3C74DD35" w14:textId="77777777" w:rsidR="00CA2485" w:rsidRDefault="00CA2485"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6F2C" w14:textId="77777777" w:rsidR="00CA2485" w:rsidRDefault="00CA2485" w:rsidP="00615EBF">
      <w:pPr>
        <w:spacing w:line="240" w:lineRule="auto"/>
      </w:pPr>
      <w:r>
        <w:separator/>
      </w:r>
    </w:p>
  </w:footnote>
  <w:footnote w:type="continuationSeparator" w:id="0">
    <w:p w14:paraId="6FA2B912" w14:textId="77777777" w:rsidR="00CA2485" w:rsidRDefault="00CA2485"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2"/>
    <w:rsid w:val="00006102"/>
    <w:rsid w:val="001227A3"/>
    <w:rsid w:val="001435F6"/>
    <w:rsid w:val="001B6266"/>
    <w:rsid w:val="001D7E9D"/>
    <w:rsid w:val="001E2DB7"/>
    <w:rsid w:val="001F06CF"/>
    <w:rsid w:val="002038D0"/>
    <w:rsid w:val="00295526"/>
    <w:rsid w:val="002B07B0"/>
    <w:rsid w:val="002C1023"/>
    <w:rsid w:val="00302075"/>
    <w:rsid w:val="003158A2"/>
    <w:rsid w:val="0031692B"/>
    <w:rsid w:val="00321EAC"/>
    <w:rsid w:val="0038186C"/>
    <w:rsid w:val="003916C2"/>
    <w:rsid w:val="003A108A"/>
    <w:rsid w:val="003A2AF9"/>
    <w:rsid w:val="003D38F0"/>
    <w:rsid w:val="004879F5"/>
    <w:rsid w:val="0049715F"/>
    <w:rsid w:val="004C0D46"/>
    <w:rsid w:val="00516DA6"/>
    <w:rsid w:val="0057466B"/>
    <w:rsid w:val="005B7093"/>
    <w:rsid w:val="005D696A"/>
    <w:rsid w:val="00615EBF"/>
    <w:rsid w:val="00627AC3"/>
    <w:rsid w:val="006478FB"/>
    <w:rsid w:val="00677C2F"/>
    <w:rsid w:val="006A261C"/>
    <w:rsid w:val="006C1D55"/>
    <w:rsid w:val="00773E3E"/>
    <w:rsid w:val="007844BF"/>
    <w:rsid w:val="007B1A77"/>
    <w:rsid w:val="008A1AF7"/>
    <w:rsid w:val="00931CCF"/>
    <w:rsid w:val="00943480"/>
    <w:rsid w:val="009566CC"/>
    <w:rsid w:val="00A319AE"/>
    <w:rsid w:val="00A4103F"/>
    <w:rsid w:val="00A4150B"/>
    <w:rsid w:val="00AA6E40"/>
    <w:rsid w:val="00AD063D"/>
    <w:rsid w:val="00B85CA7"/>
    <w:rsid w:val="00BE0145"/>
    <w:rsid w:val="00BE7F62"/>
    <w:rsid w:val="00C8428F"/>
    <w:rsid w:val="00CA2485"/>
    <w:rsid w:val="00CC0BE4"/>
    <w:rsid w:val="00CD3CF9"/>
    <w:rsid w:val="00D16204"/>
    <w:rsid w:val="00D93816"/>
    <w:rsid w:val="00DD4C91"/>
    <w:rsid w:val="00E05930"/>
    <w:rsid w:val="00E37A1F"/>
    <w:rsid w:val="00E4208F"/>
    <w:rsid w:val="00E57F19"/>
    <w:rsid w:val="00F167AF"/>
    <w:rsid w:val="00F77E1F"/>
    <w:rsid w:val="00FC31D6"/>
    <w:rsid w:val="00FE28DA"/>
    <w:rsid w:val="00FE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521991-C4F5-FA4A-9BFA-D9B02D5E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4012</Words>
  <Characters>21345</Characters>
  <Application>Microsoft Office Word</Application>
  <DocSecurity>0</DocSecurity>
  <Lines>313</Lines>
  <Paragraphs>79</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15</cp:revision>
  <cp:lastPrinted>2018-03-20T03:31:00Z</cp:lastPrinted>
  <dcterms:created xsi:type="dcterms:W3CDTF">2018-03-20T04:15:00Z</dcterms:created>
  <dcterms:modified xsi:type="dcterms:W3CDTF">2018-03-21T06:15:00Z</dcterms:modified>
</cp:coreProperties>
</file>