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bidi w:val="0"/>
      </w:pPr>
      <w:r>
        <w:rPr>
          <w:rtl w:val="0"/>
        </w:rPr>
        <w:t>Estad</w:t>
      </w:r>
      <w:r>
        <w:rPr>
          <w:rtl w:val="0"/>
        </w:rPr>
        <w:t>í</w:t>
      </w:r>
      <w:r>
        <w:rPr>
          <w:rtl w:val="0"/>
        </w:rPr>
        <w:t>sticas generales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Promedios de todos los factores de las 3 encuestas. 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243360</wp:posOffset>
            </wp:positionV>
            <wp:extent cx="5943600" cy="381998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 descr="Gráfico encuesta Autorregulació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ráfico encuesta Autorregulación" descr="Gráfico encuesta Autorregulación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2566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9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-216495</wp:posOffset>
            </wp:positionH>
            <wp:positionV relativeFrom="line">
              <wp:posOffset>4114082</wp:posOffset>
            </wp:positionV>
            <wp:extent cx="6363964" cy="346491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tec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380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964" cy="34649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3"/>
        <w:pBdr>
          <w:top w:val="nil"/>
          <w:left w:val="nil"/>
          <w:bottom w:val="nil"/>
          <w:right w:val="nil"/>
        </w:pBdr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-418504</wp:posOffset>
            </wp:positionH>
            <wp:positionV relativeFrom="page">
              <wp:posOffset>914399</wp:posOffset>
            </wp:positionV>
            <wp:extent cx="6768088" cy="356362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9" y="21600"/>
                <wp:lineTo x="21599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ot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5701" r="0" b="5701"/>
                    <a:stretch>
                      <a:fillRect/>
                    </a:stretch>
                  </pic:blipFill>
                  <pic:spPr>
                    <a:xfrm>
                      <a:off x="0" y="0"/>
                      <a:ext cx="6768088" cy="35636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>Segmentaci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ab/>
        <w:t>Para analizar de manera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segmentada, se separ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la muestra en dos grupos, usando el promedio de todos los cursos, el 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l es un 5,3. 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Heading"/>
        <w:bidi w:val="0"/>
      </w:pPr>
      <w:r>
        <w:rPr>
          <w:rtl w:val="0"/>
        </w:rPr>
        <w:t>Promedio factores por encuesta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Alumnos sobre 5,3: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18"/>
        <w:gridCol w:w="3118"/>
        <w:gridCol w:w="3119"/>
      </w:tblGrid>
      <w:tr>
        <w:tblPrEx>
          <w:shd w:val="clear" w:color="auto" w:fill="auto"/>
        </w:tblPrEx>
        <w:trPr>
          <w:trHeight w:val="273" w:hRule="atLeast"/>
          <w:tblHeader/>
        </w:trPr>
        <w:tc>
          <w:tcPr>
            <w:tcW w:type="dxa" w:w="935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itle 1"/>
            </w:pPr>
            <w:r>
              <w:t>Encuesta Motivación</w:t>
            </w:r>
          </w:p>
        </w:tc>
      </w:tr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Marzo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Junio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634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2.8462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2.8132</w:t>
            </w:r>
          </w:p>
        </w:tc>
      </w:tr>
    </w:tbl>
    <w:p>
      <w:pPr>
        <w:pStyle w:val="Body"/>
        <w:jc w:val="left"/>
      </w:pPr>
      <w:r>
        <w:tab/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18"/>
        <w:gridCol w:w="3118"/>
        <w:gridCol w:w="3119"/>
      </w:tblGrid>
      <w:tr>
        <w:tblPrEx>
          <w:shd w:val="clear" w:color="auto" w:fill="auto"/>
        </w:tblPrEx>
        <w:trPr>
          <w:trHeight w:val="273" w:hRule="atLeast"/>
          <w:tblHeader/>
        </w:trPr>
        <w:tc>
          <w:tcPr>
            <w:tcW w:type="dxa" w:w="935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itle 1"/>
            </w:pPr>
            <w:r>
              <w:t>Encuesta Autorregulación</w:t>
            </w:r>
          </w:p>
        </w:tc>
      </w:tr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Marzo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Junio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1cb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Factor 2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3.67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3.7105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1cb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Estrategias de aprendizaje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3.2844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3.3449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1cb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A. autodirigido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4.16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4.1737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1cb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TICS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3.625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3.7303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1cb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A. Colaborativo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4.005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4.0579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1cb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P. creativo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3.7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3.8355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1cb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Eficiencia del C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3.94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4.0526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634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Factor 1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4.0125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3.989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634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P. cr</w:t>
            </w:r>
            <w:r>
              <w:rPr>
                <w:rFonts w:ascii="Helvetica Neue" w:hAnsi="Helvetica Neue" w:hint="default"/>
                <w:rtl w:val="0"/>
              </w:rPr>
              <w:t>í</w:t>
            </w:r>
            <w:r>
              <w:rPr>
                <w:rFonts w:ascii="Helvetica Neue" w:hAnsi="Helvetica Neue"/>
                <w:rtl w:val="0"/>
              </w:rPr>
              <w:t>tico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3.8625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3.8224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634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Soluci</w:t>
            </w:r>
            <w:r>
              <w:rPr>
                <w:rFonts w:ascii="Helvetica Neue" w:hAnsi="Helvetica Neue" w:hint="default"/>
                <w:rtl w:val="0"/>
              </w:rPr>
              <w:t>ó</w:t>
            </w:r>
            <w:r>
              <w:rPr>
                <w:rFonts w:ascii="Helvetica Neue" w:hAnsi="Helvetica Neue"/>
                <w:rtl w:val="0"/>
              </w:rPr>
              <w:t>n de prob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3.95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3.8263</w:t>
            </w:r>
          </w:p>
        </w:tc>
      </w:tr>
    </w:tbl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18"/>
        <w:gridCol w:w="3118"/>
        <w:gridCol w:w="3119"/>
      </w:tblGrid>
      <w:tr>
        <w:tblPrEx>
          <w:shd w:val="clear" w:color="auto" w:fill="auto"/>
        </w:tblPrEx>
        <w:trPr>
          <w:trHeight w:val="273" w:hRule="atLeast"/>
          <w:tblHeader/>
        </w:trPr>
        <w:tc>
          <w:tcPr>
            <w:tcW w:type="dxa" w:w="935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itle 1"/>
            </w:pPr>
            <w:r>
              <w:t>Encuesta Tec</w:t>
            </w:r>
          </w:p>
        </w:tc>
      </w:tr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Marzo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Junio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1cb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Familiaridad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3.3161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3.4633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1cb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Como futuro docente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3.2991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3.3716</w:t>
            </w:r>
          </w:p>
        </w:tc>
      </w:tr>
    </w:tbl>
    <w:p>
      <w:pPr>
        <w:pStyle w:val="Body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Alumnos bajo 5,3:</w:t>
      </w: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18"/>
        <w:gridCol w:w="3118"/>
        <w:gridCol w:w="3119"/>
      </w:tblGrid>
      <w:tr>
        <w:tblPrEx>
          <w:shd w:val="clear" w:color="auto" w:fill="auto"/>
        </w:tblPrEx>
        <w:trPr>
          <w:trHeight w:val="273" w:hRule="atLeast"/>
          <w:tblHeader/>
        </w:trPr>
        <w:tc>
          <w:tcPr>
            <w:tcW w:type="dxa" w:w="935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itle 1"/>
            </w:pPr>
            <w:r>
              <w:t>Encuesta Motivación-1</w:t>
            </w:r>
          </w:p>
        </w:tc>
      </w:tr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Marzo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Junio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1cb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2.7455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2.7587</w:t>
            </w:r>
          </w:p>
        </w:tc>
      </w:tr>
    </w:tbl>
    <w:p>
      <w:pPr>
        <w:pStyle w:val="Body"/>
        <w:jc w:val="left"/>
      </w:pPr>
      <w:r>
        <w:tab/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18"/>
        <w:gridCol w:w="3118"/>
        <w:gridCol w:w="3119"/>
      </w:tblGrid>
      <w:tr>
        <w:tblPrEx>
          <w:shd w:val="clear" w:color="auto" w:fill="auto"/>
        </w:tblPrEx>
        <w:trPr>
          <w:trHeight w:val="273" w:hRule="atLeast"/>
          <w:tblHeader/>
        </w:trPr>
        <w:tc>
          <w:tcPr>
            <w:tcW w:type="dxa" w:w="935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itle 1"/>
            </w:pPr>
            <w:r>
              <w:t>Encuesta Autorregulación-1</w:t>
            </w:r>
          </w:p>
        </w:tc>
      </w:tr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Marzo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Junio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1cb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Factor 2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3.6286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3.8786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1cb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Estrategias de aprendizaje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3.4554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3.4802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1cb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TICS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3.5407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3.706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1cb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P. creativo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3.713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3.9464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1cb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Eficiencia del C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3.9357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3.96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Soluci</w:t>
            </w:r>
            <w:r>
              <w:rPr>
                <w:rFonts w:ascii="Helvetica Neue" w:hAnsi="Helvetica Neue" w:hint="default"/>
                <w:rtl w:val="0"/>
              </w:rPr>
              <w:t>ó</w:t>
            </w:r>
            <w:r>
              <w:rPr>
                <w:rFonts w:ascii="Helvetica Neue" w:hAnsi="Helvetica Neue"/>
                <w:rtl w:val="0"/>
              </w:rPr>
              <w:t>n de prob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3.7357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3.7357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634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Factor 1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4.0357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3.9643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634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A. autodirigido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4.0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3.9482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634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A. Colaborativo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3.9333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3.9071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634d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P. cr</w:t>
            </w:r>
            <w:r>
              <w:rPr>
                <w:rFonts w:ascii="Helvetica Neue" w:hAnsi="Helvetica Neue" w:hint="default"/>
                <w:rtl w:val="0"/>
              </w:rPr>
              <w:t>í</w:t>
            </w:r>
            <w:r>
              <w:rPr>
                <w:rFonts w:ascii="Helvetica Neue" w:hAnsi="Helvetica Neue"/>
                <w:rtl w:val="0"/>
              </w:rPr>
              <w:t>tico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3.8519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3.7321</w:t>
            </w:r>
          </w:p>
        </w:tc>
      </w:tr>
    </w:tbl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18"/>
        <w:gridCol w:w="3118"/>
        <w:gridCol w:w="3119"/>
      </w:tblGrid>
      <w:tr>
        <w:tblPrEx>
          <w:shd w:val="clear" w:color="auto" w:fill="auto"/>
        </w:tblPrEx>
        <w:trPr>
          <w:trHeight w:val="273" w:hRule="atLeast"/>
          <w:tblHeader/>
        </w:trPr>
        <w:tc>
          <w:tcPr>
            <w:tcW w:type="dxa" w:w="935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itle 1"/>
            </w:pPr>
            <w:r>
              <w:t>Encuesta Tec-1</w:t>
            </w:r>
          </w:p>
        </w:tc>
      </w:tr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Marzo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Junio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1cb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Familiaridad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3.2398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3.4127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1cb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Como futuro docente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3.2321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3.3457</w:t>
            </w:r>
          </w:p>
        </w:tc>
      </w:tr>
    </w:tbl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drawing>
          <wp:anchor distT="0" distB="0" distL="152400" distR="152400" simplePos="0" relativeHeight="251662336" behindDoc="0" locked="0" layoutInCell="1" allowOverlap="1">
            <wp:simplePos x="0" y="0"/>
            <wp:positionH relativeFrom="margin">
              <wp:posOffset>374469</wp:posOffset>
            </wp:positionH>
            <wp:positionV relativeFrom="page">
              <wp:posOffset>1665782</wp:posOffset>
            </wp:positionV>
            <wp:extent cx="6385661" cy="3580260"/>
            <wp:effectExtent l="0" t="0" r="0" b="0"/>
            <wp:wrapTopAndBottom distT="0" distB="0"/>
            <wp:docPr id="1073741828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anchor>
        </w:drawing>
      </w:r>
    </w:p>
    <w:p>
      <w:pPr>
        <w:pStyle w:val="Body"/>
        <w:jc w:val="left"/>
      </w:pPr>
      <w:r>
        <w:drawing>
          <wp:anchor distT="0" distB="0" distL="152400" distR="152400" simplePos="0" relativeHeight="251663360" behindDoc="0" locked="0" layoutInCell="1" allowOverlap="1">
            <wp:simplePos x="0" y="0"/>
            <wp:positionH relativeFrom="margin">
              <wp:posOffset>374469</wp:posOffset>
            </wp:positionH>
            <wp:positionV relativeFrom="line">
              <wp:posOffset>841026</wp:posOffset>
            </wp:positionV>
            <wp:extent cx="6385661" cy="3565189"/>
            <wp:effectExtent l="0" t="0" r="0" b="0"/>
            <wp:wrapTopAndBottom distT="0" distB="0"/>
            <wp:docPr id="1073741829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anchor>
        </w:drawing>
      </w:r>
    </w:p>
    <w:p>
      <w:pPr>
        <w:pStyle w:val="Heading"/>
        <w:bidi w:val="0"/>
      </w:pPr>
      <w:r>
        <w:rPr>
          <w:rtl w:val="0"/>
          <w:lang w:val="en-US"/>
        </w:rPr>
        <w:t>T - Tests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Resultados de t - tests con dos colas para los resultados de junio por cada factor. Las muestras fueron nuevamente los alumnos bajo la media y los alumnos sobre esta. </w:t>
      </w: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18"/>
        <w:gridCol w:w="3118"/>
        <w:gridCol w:w="3119"/>
      </w:tblGrid>
      <w:tr>
        <w:tblPrEx>
          <w:shd w:val="clear" w:color="auto" w:fill="auto"/>
        </w:tblPrEx>
        <w:trPr>
          <w:trHeight w:val="273" w:hRule="atLeast"/>
          <w:tblHeader/>
        </w:trPr>
        <w:tc>
          <w:tcPr>
            <w:tcW w:type="dxa" w:w="935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itle 1"/>
            </w:pPr>
            <w:r>
              <w:t>T-Test Motivación</w:t>
            </w:r>
          </w:p>
        </w:tc>
      </w:tr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T value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 value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0.77797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0.43992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18"/>
        <w:gridCol w:w="3118"/>
        <w:gridCol w:w="3119"/>
      </w:tblGrid>
      <w:tr>
        <w:tblPrEx>
          <w:shd w:val="clear" w:color="auto" w:fill="auto"/>
        </w:tblPrEx>
        <w:trPr>
          <w:trHeight w:val="273" w:hRule="atLeast"/>
          <w:tblHeader/>
        </w:trPr>
        <w:tc>
          <w:tcPr>
            <w:tcW w:type="dxa" w:w="935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itle 1"/>
            </w:pPr>
            <w:r>
              <w:t>T-Test  Autorregulación</w:t>
            </w:r>
          </w:p>
        </w:tc>
      </w:tr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T value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 value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Factor 1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0.15977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0.87368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Factor 2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-1.08565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0.28195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Estrategias de aprendizaje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-1.17701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0.24364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A. autodirigido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1.44342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0.15455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TICS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0.106364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0.91562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A. Colaborativo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0.78237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0.43689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P. cr</w:t>
            </w:r>
            <w:r>
              <w:rPr>
                <w:rFonts w:ascii="Helvetica Neue" w:hAnsi="Helvetica Neue" w:hint="default"/>
                <w:rtl w:val="0"/>
              </w:rPr>
              <w:t>í</w:t>
            </w:r>
            <w:r>
              <w:rPr>
                <w:rFonts w:ascii="Helvetica Neue" w:hAnsi="Helvetica Neue"/>
                <w:rtl w:val="0"/>
              </w:rPr>
              <w:t>tico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-0.82016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0.41547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P. creativo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0.73257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0.46652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Soluci</w:t>
            </w:r>
            <w:r>
              <w:rPr>
                <w:rFonts w:ascii="Helvetica Neue" w:hAnsi="Helvetica Neue" w:hint="default"/>
                <w:rtl w:val="0"/>
              </w:rPr>
              <w:t>ó</w:t>
            </w:r>
            <w:r>
              <w:rPr>
                <w:rFonts w:ascii="Helvetica Neue" w:hAnsi="Helvetica Neue"/>
                <w:rtl w:val="0"/>
              </w:rPr>
              <w:t>n de prob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0.52624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0.60060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Eficiencia del C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0.57159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0.57014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18"/>
        <w:gridCol w:w="3118"/>
        <w:gridCol w:w="3119"/>
      </w:tblGrid>
      <w:tr>
        <w:tblPrEx>
          <w:shd w:val="clear" w:color="auto" w:fill="auto"/>
        </w:tblPrEx>
        <w:trPr>
          <w:trHeight w:val="273" w:hRule="atLeast"/>
          <w:tblHeader/>
        </w:trPr>
        <w:tc>
          <w:tcPr>
            <w:tcW w:type="dxa" w:w="935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itle 1"/>
            </w:pPr>
            <w:r>
              <w:t>T-Test  Tec</w:t>
            </w:r>
          </w:p>
        </w:tc>
      </w:tr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T value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 value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Familiaridad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0.26539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0.79170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Como futuro docente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0.13585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0.89248</w:t>
            </w:r>
          </w:p>
        </w:tc>
      </w:tr>
    </w:tbl>
    <w:p>
      <w:pPr>
        <w:pStyle w:val="Body"/>
        <w:bidi w:val="0"/>
      </w:pP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pBdr>
        <w:top w:val="nil"/>
        <w:left w:val="nil"/>
        <w:bottom w:val="single" w:color="000000" w:sz="2" w:space="0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s-ES_trad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Title 1">
    <w:name w:val="Table Title 1"/>
    <w:next w:val="Table Tit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>
              <a:defRPr b="0" i="0" strike="noStrike" sz="1200" u="none">
                <a:solidFill>
                  <a:srgbClr val="000000"/>
                </a:solidFill>
                <a:latin typeface="Helvetica Neue"/>
              </a:defRPr>
            </a:pPr>
            <a:r>
              <a:rPr b="0" i="0" strike="noStrike" sz="1200" u="none">
                <a:solidFill>
                  <a:srgbClr val="000000"/>
                </a:solidFill>
                <a:latin typeface="Helvetica Neue"/>
              </a:rPr>
              <a:t>Encuesta Autorregulación alumnos sobre media</a:t>
            </a:r>
          </a:p>
        </c:rich>
      </c:tx>
      <c:layout>
        <c:manualLayout>
          <c:xMode val="edge"/>
          <c:yMode val="edge"/>
          <c:x val="0.244491"/>
          <c:y val="0.0782533"/>
          <c:w val="0.511018"/>
          <c:h val="0.0900429"/>
        </c:manualLayout>
      </c:layout>
      <c:overlay val="1"/>
      <c:spPr>
        <a:noFill/>
        <a:effectLst/>
      </c:spPr>
    </c:title>
    <c:autoTitleDeleted val="1"/>
    <c:plotArea>
      <c:layout>
        <c:manualLayout>
          <c:layoutTarget val="inner"/>
          <c:xMode val="edge"/>
          <c:yMode val="edge"/>
          <c:x val="0.0868721"/>
          <c:y val="0.168296"/>
          <c:w val="0.853254"/>
          <c:h val="0.590727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Pre</c:v>
                </c:pt>
              </c:strCache>
            </c:strRef>
          </c:tx>
          <c:spPr>
            <a:solidFill>
              <a:srgbClr val="FFFFFF"/>
            </a:solidFill>
            <a:ln w="12700" cap="flat">
              <a:solidFill>
                <a:schemeClr val="accent1"/>
              </a:solidFill>
              <a:prstDash val="solid"/>
              <a:miter lim="400000"/>
            </a:ln>
            <a:effectLst/>
          </c:spPr>
          <c:marker>
            <c:symbol val="circle"/>
            <c:size val="4"/>
            <c:spPr>
              <a:solidFill>
                <a:srgbClr val="FFFFFF"/>
              </a:solidFill>
              <a:ln w="25400" cap="flat">
                <a:solidFill>
                  <a:schemeClr val="accent1"/>
                </a:solidFill>
                <a:prstDash val="solid"/>
                <a:miter lim="400000"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Sheet1!$B$1:$N$1</c:f>
              <c:strCache>
                <c:ptCount val="13"/>
                <c:pt idx="0">
                  <c:v>Mot</c:v>
                </c:pt>
                <c:pt idx="1">
                  <c:v>Fact 1</c:v>
                </c:pt>
                <c:pt idx="2">
                  <c:v>Fact 2</c:v>
                </c:pt>
                <c:pt idx="3">
                  <c:v>Est. aprendizaje</c:v>
                </c:pt>
                <c:pt idx="4">
                  <c:v>A. autodir</c:v>
                </c:pt>
                <c:pt idx="5">
                  <c:v>TICS</c:v>
                </c:pt>
                <c:pt idx="6">
                  <c:v>A. colab</c:v>
                </c:pt>
                <c:pt idx="7">
                  <c:v>P. crit</c:v>
                </c:pt>
                <c:pt idx="8">
                  <c:v>P. creat</c:v>
                </c:pt>
                <c:pt idx="9">
                  <c:v>Sol. prob</c:v>
                </c:pt>
                <c:pt idx="10">
                  <c:v>Efic. C</c:v>
                </c:pt>
                <c:pt idx="11">
                  <c:v>Familiaridad</c:v>
                </c:pt>
                <c:pt idx="12">
                  <c:v>Como fut docen</c:v>
                </c:pt>
              </c:strCache>
            </c:strRef>
          </c:cat>
          <c:val>
            <c:numRef>
              <c:f>Sheet1!$B$2:$N$2</c:f>
              <c:numCache>
                <c:ptCount val="13"/>
                <c:pt idx="0">
                  <c:v>2.846200</c:v>
                </c:pt>
                <c:pt idx="1">
                  <c:v>4.012500</c:v>
                </c:pt>
                <c:pt idx="2">
                  <c:v>3.670000</c:v>
                </c:pt>
                <c:pt idx="3">
                  <c:v>3.284400</c:v>
                </c:pt>
                <c:pt idx="4">
                  <c:v>4.160000</c:v>
                </c:pt>
                <c:pt idx="5">
                  <c:v>3.625000</c:v>
                </c:pt>
                <c:pt idx="6">
                  <c:v>4.005000</c:v>
                </c:pt>
                <c:pt idx="7">
                  <c:v>3.862500</c:v>
                </c:pt>
                <c:pt idx="8">
                  <c:v>3.700000</c:v>
                </c:pt>
                <c:pt idx="9">
                  <c:v>3.950000</c:v>
                </c:pt>
                <c:pt idx="10">
                  <c:v>3.940000</c:v>
                </c:pt>
                <c:pt idx="11">
                  <c:v>3.316100</c:v>
                </c:pt>
                <c:pt idx="12">
                  <c:v>3.299100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Post</c:v>
                </c:pt>
              </c:strCache>
            </c:strRef>
          </c:tx>
          <c:spPr>
            <a:solidFill>
              <a:srgbClr val="FFFFFF"/>
            </a:solidFill>
            <a:ln w="12700" cap="flat">
              <a:solidFill>
                <a:schemeClr val="accent3"/>
              </a:solidFill>
              <a:prstDash val="solid"/>
              <a:miter lim="400000"/>
            </a:ln>
            <a:effectLst/>
          </c:spPr>
          <c:marker>
            <c:symbol val="circle"/>
            <c:size val="4"/>
            <c:spPr>
              <a:solidFill>
                <a:srgbClr val="FFFFFF"/>
              </a:solidFill>
              <a:ln w="25400" cap="flat">
                <a:solidFill>
                  <a:schemeClr val="accent3"/>
                </a:solidFill>
                <a:prstDash val="solid"/>
                <a:miter lim="400000"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Sheet1!$B$1:$N$1</c:f>
              <c:strCache>
                <c:ptCount val="13"/>
                <c:pt idx="0">
                  <c:v>Mot</c:v>
                </c:pt>
                <c:pt idx="1">
                  <c:v>Fact 1</c:v>
                </c:pt>
                <c:pt idx="2">
                  <c:v>Fact 2</c:v>
                </c:pt>
                <c:pt idx="3">
                  <c:v>Est. aprendizaje</c:v>
                </c:pt>
                <c:pt idx="4">
                  <c:v>A. autodir</c:v>
                </c:pt>
                <c:pt idx="5">
                  <c:v>TICS</c:v>
                </c:pt>
                <c:pt idx="6">
                  <c:v>A. colab</c:v>
                </c:pt>
                <c:pt idx="7">
                  <c:v>P. crit</c:v>
                </c:pt>
                <c:pt idx="8">
                  <c:v>P. creat</c:v>
                </c:pt>
                <c:pt idx="9">
                  <c:v>Sol. prob</c:v>
                </c:pt>
                <c:pt idx="10">
                  <c:v>Efic. C</c:v>
                </c:pt>
                <c:pt idx="11">
                  <c:v>Familiaridad</c:v>
                </c:pt>
                <c:pt idx="12">
                  <c:v>Como fut docen</c:v>
                </c:pt>
              </c:strCache>
            </c:strRef>
          </c:cat>
          <c:val>
            <c:numRef>
              <c:f>Sheet1!$B$3:$N$3</c:f>
              <c:numCache>
                <c:ptCount val="13"/>
                <c:pt idx="0">
                  <c:v>2.813200</c:v>
                </c:pt>
                <c:pt idx="1">
                  <c:v>3.989000</c:v>
                </c:pt>
                <c:pt idx="2">
                  <c:v>3.710500</c:v>
                </c:pt>
                <c:pt idx="3">
                  <c:v>3.344900</c:v>
                </c:pt>
                <c:pt idx="4">
                  <c:v>4.173700</c:v>
                </c:pt>
                <c:pt idx="5">
                  <c:v>3.730300</c:v>
                </c:pt>
                <c:pt idx="6">
                  <c:v>4.057900</c:v>
                </c:pt>
                <c:pt idx="7">
                  <c:v>3.822400</c:v>
                </c:pt>
                <c:pt idx="8">
                  <c:v>3.835500</c:v>
                </c:pt>
                <c:pt idx="9">
                  <c:v>3.826300</c:v>
                </c:pt>
                <c:pt idx="10">
                  <c:v>4.052600</c:v>
                </c:pt>
                <c:pt idx="11">
                  <c:v>3.463300</c:v>
                </c:pt>
                <c:pt idx="12">
                  <c:v>3.371600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majorGridlines>
          <c:spPr>
            <a:ln w="6350" cap="flat">
              <a:solidFill>
                <a:srgbClr val="D6D5D5"/>
              </a:solidFill>
              <a:custDash>
                <a:ds d="100000" sp="200000"/>
              </a:custDash>
              <a:miter lim="400000"/>
            </a:ln>
          </c:spPr>
        </c:majorGridlines>
        <c:numFmt formatCode="General" sourceLinked="0"/>
        <c:majorTickMark val="none"/>
        <c:minorTickMark val="none"/>
        <c:tickLblPos val="low"/>
        <c:spPr>
          <a:ln w="9525" cap="flat">
            <a:solidFill>
              <a:srgbClr val="000000"/>
            </a:solidFill>
            <a:prstDash val="solid"/>
            <a:miter lim="400000"/>
          </a:ln>
        </c:spPr>
        <c:txPr>
          <a:bodyPr rot="-270000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  <c:max val="4.5"/>
          <c:min val="2.5"/>
        </c:scaling>
        <c:delete val="0"/>
        <c:axPos val="l"/>
        <c:majorGridlines>
          <c:spPr>
            <a:ln w="6350" cap="flat">
              <a:solidFill>
                <a:srgbClr val="B8B8B8"/>
              </a:solidFill>
              <a:custDash>
                <a:ds d="100000" sp="200000"/>
              </a:custDash>
              <a:miter lim="400000"/>
            </a:ln>
          </c:spPr>
        </c:majorGridlines>
        <c:title>
          <c:tx>
            <c:rich>
              <a:bodyPr rot="-5400000"/>
              <a:lstStyle/>
              <a:p>
                <a:pPr>
                  <a:defRPr b="0" i="0" strike="noStrike" sz="1000" u="none">
                    <a:solidFill>
                      <a:srgbClr val="000000"/>
                    </a:solidFill>
                    <a:latin typeface="Helvetica Neue"/>
                  </a:defRPr>
                </a:pPr>
                <a:r>
                  <a:rPr b="0" i="0" strike="noStrike" sz="1000" u="none">
                    <a:solidFill>
                      <a:srgbClr val="000000"/>
                    </a:solidFill>
                    <a:latin typeface="Helvetica Neue"/>
                  </a:rPr>
                  <a:t>Promedios</a:t>
                </a:r>
              </a:p>
            </c:rich>
          </c:tx>
          <c:layout/>
          <c:overlay val="1"/>
        </c:title>
        <c:numFmt formatCode="General" sourceLinked="0"/>
        <c:majorTickMark val="none"/>
        <c:minorTickMark val="none"/>
        <c:tickLblPos val="nextTo"/>
        <c:spPr>
          <a:ln w="9525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2"/>
        <c:crosses val="autoZero"/>
        <c:crossBetween val="midCat"/>
        <c:majorUnit val="0.4"/>
        <c:minorUnit val="0.2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750662"/>
          <c:y val="0"/>
          <c:w val="0.8371"/>
          <c:h val="0.0665735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 Neue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>
              <a:defRPr b="0" i="0" strike="noStrike" sz="1200" u="none">
                <a:solidFill>
                  <a:srgbClr val="000000"/>
                </a:solidFill>
                <a:latin typeface="Helvetica Neue"/>
              </a:defRPr>
            </a:pPr>
            <a:r>
              <a:rPr b="0" i="0" strike="noStrike" sz="1200" u="none">
                <a:solidFill>
                  <a:srgbClr val="000000"/>
                </a:solidFill>
                <a:latin typeface="Helvetica Neue"/>
              </a:rPr>
              <a:t>Encuesta Autorregulación alumnos bajo media</a:t>
            </a:r>
          </a:p>
        </c:rich>
      </c:tx>
      <c:layout>
        <c:manualLayout>
          <c:xMode val="edge"/>
          <c:yMode val="edge"/>
          <c:x val="0.251782"/>
          <c:y val="0.0744322"/>
          <c:w val="0.496436"/>
          <c:h val="0.0904235"/>
        </c:manualLayout>
      </c:layout>
      <c:overlay val="1"/>
      <c:spPr>
        <a:noFill/>
        <a:effectLst/>
      </c:spPr>
    </c:title>
    <c:autoTitleDeleted val="1"/>
    <c:plotArea>
      <c:layout>
        <c:manualLayout>
          <c:layoutTarget val="inner"/>
          <c:xMode val="edge"/>
          <c:yMode val="edge"/>
          <c:x val="0.0868721"/>
          <c:y val="0.164856"/>
          <c:w val="0.853254"/>
          <c:h val="0.593201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Pre</c:v>
                </c:pt>
              </c:strCache>
            </c:strRef>
          </c:tx>
          <c:spPr>
            <a:solidFill>
              <a:srgbClr val="FFFFFF"/>
            </a:solidFill>
            <a:ln w="12700" cap="flat">
              <a:solidFill>
                <a:schemeClr val="accent1"/>
              </a:solidFill>
              <a:prstDash val="solid"/>
              <a:miter lim="400000"/>
            </a:ln>
            <a:effectLst/>
          </c:spPr>
          <c:marker>
            <c:symbol val="circle"/>
            <c:size val="4"/>
            <c:spPr>
              <a:solidFill>
                <a:srgbClr val="FFFFFF"/>
              </a:solidFill>
              <a:ln w="25400" cap="flat">
                <a:solidFill>
                  <a:schemeClr val="accent1"/>
                </a:solidFill>
                <a:prstDash val="solid"/>
                <a:miter lim="400000"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Sheet1!$B$1:$N$1</c:f>
              <c:strCache>
                <c:ptCount val="13"/>
                <c:pt idx="0">
                  <c:v>Mot</c:v>
                </c:pt>
                <c:pt idx="1">
                  <c:v>Fact 1</c:v>
                </c:pt>
                <c:pt idx="2">
                  <c:v>Fact 2</c:v>
                </c:pt>
                <c:pt idx="3">
                  <c:v>Est. aprendizaje</c:v>
                </c:pt>
                <c:pt idx="4">
                  <c:v>A. autodir</c:v>
                </c:pt>
                <c:pt idx="5">
                  <c:v>TICS</c:v>
                </c:pt>
                <c:pt idx="6">
                  <c:v>A. colab</c:v>
                </c:pt>
                <c:pt idx="7">
                  <c:v>P. crit</c:v>
                </c:pt>
                <c:pt idx="8">
                  <c:v>P. creat</c:v>
                </c:pt>
                <c:pt idx="9">
                  <c:v>Sol. prob</c:v>
                </c:pt>
                <c:pt idx="10">
                  <c:v>Efic. C</c:v>
                </c:pt>
                <c:pt idx="11">
                  <c:v>Familiaridad</c:v>
                </c:pt>
                <c:pt idx="12">
                  <c:v>Como fut docen</c:v>
                </c:pt>
              </c:strCache>
            </c:strRef>
          </c:cat>
          <c:val>
            <c:numRef>
              <c:f>Sheet1!$B$2:$N$2</c:f>
              <c:numCache>
                <c:ptCount val="13"/>
                <c:pt idx="0">
                  <c:v>2.745500</c:v>
                </c:pt>
                <c:pt idx="1">
                  <c:v>4.035700</c:v>
                </c:pt>
                <c:pt idx="2">
                  <c:v>3.628600</c:v>
                </c:pt>
                <c:pt idx="3">
                  <c:v>3.455400</c:v>
                </c:pt>
                <c:pt idx="4">
                  <c:v>4.000000</c:v>
                </c:pt>
                <c:pt idx="5">
                  <c:v>3.540700</c:v>
                </c:pt>
                <c:pt idx="6">
                  <c:v>3.933300</c:v>
                </c:pt>
                <c:pt idx="7">
                  <c:v>3.851900</c:v>
                </c:pt>
                <c:pt idx="8">
                  <c:v>3.713000</c:v>
                </c:pt>
                <c:pt idx="9">
                  <c:v>3.735700</c:v>
                </c:pt>
                <c:pt idx="10">
                  <c:v>3.935700</c:v>
                </c:pt>
                <c:pt idx="11">
                  <c:v>3.239800</c:v>
                </c:pt>
                <c:pt idx="12">
                  <c:v>3.232100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Post</c:v>
                </c:pt>
              </c:strCache>
            </c:strRef>
          </c:tx>
          <c:spPr>
            <a:solidFill>
              <a:srgbClr val="FFFFFF"/>
            </a:solidFill>
            <a:ln w="12700" cap="flat">
              <a:solidFill>
                <a:schemeClr val="accent3"/>
              </a:solidFill>
              <a:prstDash val="solid"/>
              <a:miter lim="400000"/>
            </a:ln>
            <a:effectLst/>
          </c:spPr>
          <c:marker>
            <c:symbol val="circle"/>
            <c:size val="4"/>
            <c:spPr>
              <a:solidFill>
                <a:srgbClr val="FFFFFF"/>
              </a:solidFill>
              <a:ln w="25400" cap="flat">
                <a:solidFill>
                  <a:schemeClr val="accent3"/>
                </a:solidFill>
                <a:prstDash val="solid"/>
                <a:miter lim="400000"/>
              </a:ln>
              <a:effectLst/>
            </c:spPr>
          </c:marker>
          <c:dLbls>
            <c:numFmt formatCode="#,##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latin typeface="Helvetica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Sheet1!$B$1:$N$1</c:f>
              <c:strCache>
                <c:ptCount val="13"/>
                <c:pt idx="0">
                  <c:v>Mot</c:v>
                </c:pt>
                <c:pt idx="1">
                  <c:v>Fact 1</c:v>
                </c:pt>
                <c:pt idx="2">
                  <c:v>Fact 2</c:v>
                </c:pt>
                <c:pt idx="3">
                  <c:v>Est. aprendizaje</c:v>
                </c:pt>
                <c:pt idx="4">
                  <c:v>A. autodir</c:v>
                </c:pt>
                <c:pt idx="5">
                  <c:v>TICS</c:v>
                </c:pt>
                <c:pt idx="6">
                  <c:v>A. colab</c:v>
                </c:pt>
                <c:pt idx="7">
                  <c:v>P. crit</c:v>
                </c:pt>
                <c:pt idx="8">
                  <c:v>P. creat</c:v>
                </c:pt>
                <c:pt idx="9">
                  <c:v>Sol. prob</c:v>
                </c:pt>
                <c:pt idx="10">
                  <c:v>Efic. C</c:v>
                </c:pt>
                <c:pt idx="11">
                  <c:v>Familiaridad</c:v>
                </c:pt>
                <c:pt idx="12">
                  <c:v>Como fut docen</c:v>
                </c:pt>
              </c:strCache>
            </c:strRef>
          </c:cat>
          <c:val>
            <c:numRef>
              <c:f>Sheet1!$B$3:$N$3</c:f>
              <c:numCache>
                <c:ptCount val="13"/>
                <c:pt idx="0">
                  <c:v>2.758700</c:v>
                </c:pt>
                <c:pt idx="1">
                  <c:v>3.964300</c:v>
                </c:pt>
                <c:pt idx="2">
                  <c:v>3.878600</c:v>
                </c:pt>
                <c:pt idx="3">
                  <c:v>3.480200</c:v>
                </c:pt>
                <c:pt idx="4">
                  <c:v>3.948200</c:v>
                </c:pt>
                <c:pt idx="5">
                  <c:v>3.706000</c:v>
                </c:pt>
                <c:pt idx="6">
                  <c:v>3.907100</c:v>
                </c:pt>
                <c:pt idx="7">
                  <c:v>3.732100</c:v>
                </c:pt>
                <c:pt idx="8">
                  <c:v>3.946400</c:v>
                </c:pt>
                <c:pt idx="9">
                  <c:v>3.735700</c:v>
                </c:pt>
                <c:pt idx="10">
                  <c:v>3.960000</c:v>
                </c:pt>
                <c:pt idx="11">
                  <c:v>3.412700</c:v>
                </c:pt>
                <c:pt idx="12">
                  <c:v>3.345700</c:v>
                </c:pt>
              </c:numCache>
            </c:numRef>
          </c:val>
          <c:smooth val="0"/>
        </c:ser>
        <c:marker val="1"/>
        <c:axId val="2094734552"/>
        <c:axId val="2094734553"/>
      </c:lineChart>
      <c:catAx>
        <c:axId val="2094734552"/>
        <c:scaling>
          <c:orientation val="minMax"/>
        </c:scaling>
        <c:delete val="0"/>
        <c:axPos val="b"/>
        <c:majorGridlines>
          <c:spPr>
            <a:ln w="3175" cap="flat">
              <a:solidFill>
                <a:srgbClr val="D6D5D5"/>
              </a:solidFill>
              <a:custDash>
                <a:ds d="100000" sp="200000"/>
              </a:custDash>
              <a:miter lim="400000"/>
            </a:ln>
          </c:spPr>
        </c:majorGridlines>
        <c:numFmt formatCode="General" sourceLinked="0"/>
        <c:majorTickMark val="none"/>
        <c:minorTickMark val="none"/>
        <c:tickLblPos val="low"/>
        <c:spPr>
          <a:ln w="9525" cap="flat">
            <a:solidFill>
              <a:srgbClr val="000000"/>
            </a:solidFill>
            <a:prstDash val="solid"/>
            <a:miter lim="400000"/>
          </a:ln>
        </c:spPr>
        <c:txPr>
          <a:bodyPr rot="-270000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  <c:max val="4.5"/>
          <c:min val="2.5"/>
        </c:scaling>
        <c:delete val="0"/>
        <c:axPos val="l"/>
        <c:majorGridlines>
          <c:spPr>
            <a:ln w="6350" cap="flat">
              <a:solidFill>
                <a:srgbClr val="B8B8B8"/>
              </a:solidFill>
              <a:custDash>
                <a:ds d="100000" sp="200000"/>
              </a:custDash>
              <a:miter lim="400000"/>
            </a:ln>
          </c:spPr>
        </c:majorGridlines>
        <c:title>
          <c:tx>
            <c:rich>
              <a:bodyPr rot="-5400000"/>
              <a:lstStyle/>
              <a:p>
                <a:pPr>
                  <a:defRPr b="0" i="0" strike="noStrike" sz="1000" u="none">
                    <a:solidFill>
                      <a:srgbClr val="000000"/>
                    </a:solidFill>
                    <a:latin typeface="Helvetica Neue"/>
                  </a:defRPr>
                </a:pPr>
                <a:r>
                  <a:rPr b="0" i="0" strike="noStrike" sz="1000" u="none">
                    <a:solidFill>
                      <a:srgbClr val="000000"/>
                    </a:solidFill>
                    <a:latin typeface="Helvetica Neue"/>
                  </a:rPr>
                  <a:t>Promedios</a:t>
                </a:r>
              </a:p>
            </c:rich>
          </c:tx>
          <c:layout/>
          <c:overlay val="1"/>
        </c:title>
        <c:numFmt formatCode="General" sourceLinked="0"/>
        <c:majorTickMark val="none"/>
        <c:minorTickMark val="none"/>
        <c:tickLblPos val="nextTo"/>
        <c:spPr>
          <a:ln w="9525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 Neue"/>
              </a:defRPr>
            </a:pPr>
          </a:p>
        </c:txPr>
        <c:crossAx val="2094734552"/>
        <c:crosses val="autoZero"/>
        <c:crossBetween val="midCat"/>
        <c:majorUnit val="0.4"/>
        <c:minorUnit val="0.2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795007"/>
          <c:y val="0"/>
          <c:w val="0.886552"/>
          <c:h val="0.0667493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 Neue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