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4"/>
        </w:rPr>
        <w:t>Test100 多模态数据统计报告</w:t>
      </w:r>
    </w:p>
    <w:p>
      <w:pPr>
        <w:jc w:val="center"/>
      </w:pPr>
      <w:r>
        <w:rPr>
          <w:rFonts w:ascii="Calibri" w:hAnsi="Calibri"/>
          <w:color w:val="5A5A5A"/>
          <w:sz w:val="24"/>
        </w:rPr>
        <w:t>100 个病人 / 100 次住院记录当前快照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统计时间：2026-05-22 16:30:45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数据目录：subset2_test100_subject100_balanced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说明：本报告按当前磁盘快照生成；下载中的 Echo 文件会以未完成文件数呈现。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1. 数据集概况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指标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数值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检查结果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病人数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住院记录数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subject-hadm 对数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存在多次住院的病人数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2. 模态覆盖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模态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覆盖病人数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覆盖住院数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目标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状态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ECG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完整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CXR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完整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Echo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标签完整，文件下载中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模态组合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记录数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ECG+CXR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ECG+Echo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sz w:val="22"/>
        </w:rPr>
        <w:t>全部记录的 modality_score 均为 2，表示每条住院记录均覆盖两类核心模态。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3. 临床标签汇总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标签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阳性记录数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占比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住院死亡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 天死亡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 天医院再入院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 天 ICU 再入院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2.0%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4. 资料表汇总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资料类型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行数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覆盖病人数</w:t>
            </w:r>
          </w:p>
        </w:tc>
        <w:tc>
          <w:tcPr>
            <w:tcW w:type="dxa" w:w="23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覆盖住院数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临床文本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801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胸片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222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心电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361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超声心动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检验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2447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用药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3554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操作/处置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548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39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5. 文件与下载状态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模态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manifest 文件数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已下载非空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缺失/空文件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size=0</w:t>
            </w:r>
          </w:p>
        </w:tc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已下载大小(GB)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CXR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285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285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0.44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ECG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724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724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0.04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Echo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3200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2668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532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8.77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合计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4209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3677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532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9.25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6. 数据质量检查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检查项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100 个病人、100 次住院记录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每个病人仅保留 1 次住院记录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模态标签与 modality_score 一致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ECG manifest 文件均存在且非空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CXR manifest 文件均存在且非空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Echo manifest 文件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下载中，剩余缺失/空文件数按上表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</w:rPr>
        <w:t>7. 结论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当前数据集已经满足 100 个病人、100 次住院记录、一人一次住院的核心约束。ECG 与 CXR 文件均已完整落盘；Echo 标签覆盖已满足 40 个病人/住院记录，但源文件仍在下载中。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建议在 Echo 下载结束后再次运行文件完整性校验，并生成最终归档版报告。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