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vinílico SPC</w:t>
      </w:r>
      <w:r>
        <w:rPr>
          <w:rtl w:val="0"/>
        </w:rPr>
        <w:t xml:space="preserve"> y cubierta de granito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3"/>
      <w:bookmarkEnd w:id="3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kc" w:id="4"/>
      <w:bookmarkEnd w:id="4"/>
      <w:r>
        <w:rPr>
          <w:b w:val="1"/>
          <w:sz w:val="46"/>
          <w:szCs w:val="46"/>
          <w:rtl w:val="0"/>
        </w:rPr>
        <w:t xml:space="preserve">2 Dormitorios – 2 Baños (KC)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 (kitchenette)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2 torres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torre sur 24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torre norte 31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698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Inmediata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433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167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infantil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Calificación energética</w:t>
      </w:r>
      <w:r>
        <w:rPr>
          <w:rtl w:val="0"/>
        </w:rPr>
        <w:t xml:space="preserve">: calificación con </w:t>
      </w:r>
      <w:r>
        <w:rPr>
          <w:b w:val="1"/>
          <w:rtl w:val="0"/>
        </w:rPr>
        <w:t xml:space="preserve">49% de ahorro energético ponderado</w:t>
      </w:r>
      <w:r>
        <w:rPr>
          <w:rtl w:val="0"/>
        </w:rPr>
        <w:t xml:space="preserve"> (viviendas con ahorro entre 13% y 81%)</w:t>
        <w:br w:type="textWrapping"/>
      </w:r>
    </w:p>
    <w:p w:rsidR="00000000" w:rsidDel="00000000" w:rsidP="00000000" w:rsidRDefault="00000000" w:rsidRPr="00000000" w14:paraId="0000003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Vicuña Mackenna </w:t>
      </w:r>
      <w:r>
        <w:rPr>
          <w:b w:val="1"/>
          <w:rtl w:val="0"/>
        </w:rPr>
        <w:t xml:space="preserve">1432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Ñuñoa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Ñuble e Irrarrázaval (L5–L6)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10 min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En plena Av. Vicuña Mackenna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Futuro Mall Vivo</w:t>
      </w:r>
      <w:r>
        <w:rPr>
          <w:rtl w:val="0"/>
        </w:rPr>
        <w:t xml:space="preserve">: muy cercano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Comercios, bancos y ciclovías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Cafés, restaurantes y centros de salud</w:t>
      </w:r>
      <w:r>
        <w:rPr>
          <w:rtl w:val="0"/>
        </w:rPr>
        <w:t xml:space="preserve">: cercanos</w:t>
      </w:r>
    </w:p>
    <w:p w:rsidR="00000000" w:rsidDel="00000000" w:rsidP="00000000" w:rsidRDefault="00000000" w:rsidRPr="00000000" w14:paraId="00000041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