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42.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Report</w:t>
      </w:r>
      <w:r>
        <w:t xml:space="preserve"> </w:t>
      </w:r>
      <w:r>
        <w:t xml:space="preserve">for</w:t>
      </w:r>
      <w:r>
        <w:t xml:space="preserve"> </w:t>
      </w:r>
      <w:r>
        <w:t xml:space="preserve">Treatment</w:t>
      </w:r>
      <w:r>
        <w:t xml:space="preserve"> </w:t>
      </w:r>
      <w:r>
        <w:t xml:space="preserve">Evaluation</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06/14/2022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Cheng Su</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Chris Wilson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TB21-02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christopher.wilson@bmrn.com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BMN000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Dep 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pan_program_non_project_specific_support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Uuid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32551bdc-e87b-4191-9937-ce19aed0b2ab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Base Dir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C:/Users/Christopher.Wilson/Documents/test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test_output/BMN000/pan_program_non_project_specific_support/TB21-02/32551bdc-e87b-4191-9937-ce19aed0b2ab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C:/Users/Christopher.Wilson/Documents/test/test_output/BMN000/pan_program_non_project_specific_support/TB21-02/32551bdc-e87b-4191-9937-ce19aed0b2ab</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Full Path Files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C:/Users/Christopher.Wilson/Documents/test/test_output/BMN000/pan_program_non_project_specific_support/TB21-02/32551bdc-e87b-4191-9937-ce19aed0b2ab/files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2022-06-13 15:03:34</w:t>
            </w:r>
          </w:p>
        </w:tc>
      </w:tr>
    </w:tbl>
    <w:bookmarkEnd w:id="20"/>
    <w:bookmarkStart w:id="21" w:name="study-background-and-objectives"/>
    <w:p>
      <w:pPr>
        <w:pStyle w:val="Heading1"/>
      </w:pPr>
      <w:r>
        <w:rPr>
          <w:rStyle w:val="SectionNumber"/>
        </w:rPr>
        <w:t xml:space="preserve">2</w:t>
      </w:r>
      <w:r>
        <w:tab/>
      </w:r>
      <w:r>
        <w:t xml:space="preserve">Study Background and Objectives</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Label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Comparison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Purpose of Comparison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Wild Type vs. 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Verify Disease Model.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Positive Control vs. 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Verify the experiment.</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Wild Type vs. Each 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Can any doses reverse the disease?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Vehicle vs. Each 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Are any treatments effective?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Wild Type vs. Positive Control</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Does Positive Control reverse disease?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Positive Control vs. Each 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Which doses are similar to Positive Control?</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Each Dose vs. Every Other Dose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 doses differ from each other?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Negative Control vs. Vehicle</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Rule out matrix effect.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Negative Control vs. Each Dose</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49"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A Log was applied to the data. of the data was determined by the algorithm.</w:t>
      </w:r>
    </w:p>
    <w:p>
      <w:pPr>
        <w:pStyle w:val="BodyText"/>
      </w:pPr>
      <w:r>
        <w:t xml:space="preserve">An AR1 was determined by the algorithm.</w:t>
      </w:r>
    </w:p>
    <w:p>
      <w:pPr>
        <w:pStyle w:val="BodyText"/>
      </w:pPr>
      <w:r>
        <w:t xml:space="preserve">All groups have similar variance</w:t>
      </w:r>
    </w:p>
    <w:bookmarkEnd w:id="35"/>
    <w:bookmarkStart w:id="37" w:name="Xd79e15173b543ef68a91a8982ab0c1246d8ca28"/>
    <w:p>
      <w:pPr>
        <w:pStyle w:val="Heading2"/>
      </w:pPr>
      <w:r>
        <w:rPr>
          <w:rStyle w:val="SectionNumber"/>
        </w:rPr>
        <w:t xml:space="preserve">4.2</w:t>
      </w:r>
      <w:r>
        <w:tab/>
      </w:r>
      <w:r>
        <w:t xml:space="preserve">Graphical Summary of Residuals Before and After Transformation</w:t>
      </w:r>
    </w:p>
    <w:p>
      <w:pPr>
        <w:pStyle w:val="CaptionedFigure"/>
      </w:pPr>
      <w:r>
        <w:drawing>
          <wp:inline>
            <wp:extent cx="8229600" cy="4572000"/>
            <wp:effectExtent b="0" l="0" r="0" t="0"/>
            <wp:docPr descr="Figure 4.1: Histogram (top) and Q-Q plots (bottom) to assess the normality of the residuals" title="" id="1" name="Picture"/>
            <a:graphic>
              <a:graphicData uri="http://schemas.openxmlformats.org/drawingml/2006/picture">
                <pic:pic>
                  <pic:nvPicPr>
                    <pic:cNvPr descr="Test_Report_files/figure-docx/unnamed-chunk-4-1.png" id="0"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7"/>
    <w:bookmarkStart w:id="43"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1" name="Picture"/>
            <a:graphic>
              <a:graphicData uri="http://schemas.openxmlformats.org/drawingml/2006/picture">
                <pic:pic>
                  <pic:nvPicPr>
                    <pic:cNvPr descr="Test_Report_files/figure-docx/unnamed-chunk-6-1.png" id="0" name="Picture"/>
                    <pic:cNvPicPr>
                      <a:picLocks noChangeArrowheads="1" noChangeAspect="1"/>
                    </pic:cNvPicPr>
                  </pic:nvPicPr>
                  <pic:blipFill>
                    <a:blip r:embed="rId38"/>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Transformed Scale. The vertical bars are standard error bars for each group at each time point." title="" id="1" name="Picture"/>
            <a:graphic>
              <a:graphicData uri="http://schemas.openxmlformats.org/drawingml/2006/picture">
                <pic:pic>
                  <pic:nvPicPr>
                    <pic:cNvPr descr="Test_Report_files/figure-docx/unnamed-chunk-7-1.png" id="0" name="Picture"/>
                    <pic:cNvPicPr>
                      <a:picLocks noChangeArrowheads="1" noChangeAspect="1"/>
                    </pic:cNvPicPr>
                  </pic:nvPicPr>
                  <pic:blipFill>
                    <a:blip r:embed="rId3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Transformed Scale. The vertical bars are standard error bars for each group at each time point.</w:t>
      </w:r>
    </w:p>
    <w:p>
      <w:pPr>
        <w:pStyle w:val="CaptionedFigure"/>
      </w:pPr>
      <w:r>
        <w:drawing>
          <wp:inline>
            <wp:extent cx="8229600" cy="4572000"/>
            <wp:effectExtent b="0" l="0" r="0" t="0"/>
            <wp:docPr descr="Figure 4.4: Bar plot for each group and time." title="" id="1" name="Picture"/>
            <a:graphic>
              <a:graphicData uri="http://schemas.openxmlformats.org/drawingml/2006/picture">
                <pic:pic>
                  <pic:nvPicPr>
                    <pic:cNvPr descr="Test_Report_files/figure-docx/unnamed-chunk-8-1.png" id="0"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Transformed Scale response in the presence of techinical replicates." title="" id="1" name="Picture"/>
            <a:graphic>
              <a:graphicData uri="http://schemas.openxmlformats.org/drawingml/2006/picture">
                <pic:pic>
                  <pic:nvPicPr>
                    <pic:cNvPr descr="Test_Report_files/figure-docx/unnamed-chunk-9-1.png" id="0" name="Picture"/>
                    <pic:cNvPicPr>
                      <a:picLocks noChangeArrowheads="1" noChangeAspect="1"/>
                    </pic:cNvPicPr>
                  </pic:nvPicPr>
                  <pic:blipFill>
                    <a:blip r:embed="rId41"/>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Transformed Scale response in the presence of techinical replicates.</w:t>
      </w:r>
    </w:p>
    <w:p>
      <w:pPr>
        <w:pStyle w:val="CaptionedFigure"/>
      </w:pPr>
      <w:r>
        <w:drawing>
          <wp:inline>
            <wp:extent cx="8229600" cy="4572000"/>
            <wp:effectExtent b="0" l="0" r="0" t="0"/>
            <wp:docPr descr="Figure 4.6: Boxplot of Transformed Scale response values at Day 5. The stars above the horizontal bars correspond to the magnitude of the p-value comparing two groups where “*,” “**,” and “***” represent 0.01 &lt;= p-value &lt; 0.05, 0.001 &lt;= p-value &lt; 0.01, and p-value &lt; 0.001, respectively. A p-value summary will only be shown form p-value less than 0.05." title="" id="1" name="Picture"/>
            <a:graphic>
              <a:graphicData uri="http://schemas.openxmlformats.org/drawingml/2006/picture">
                <pic:pic>
                  <pic:nvPicPr>
                    <pic:cNvPr descr="Test_Report_files/figure-docx/unnamed-chunk-10-1.png" id="0" name="Picture"/>
                    <pic:cNvPicPr>
                      <a:picLocks noChangeArrowheads="1" noChangeAspect="1"/>
                    </pic:cNvPicPr>
                  </pic:nvPicPr>
                  <pic:blipFill>
                    <a:blip r:embed="rId42"/>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4.6: Boxplot of Transformed Scale response values at Day 5. The stars above the horizontal bars correspond to the magnitude of the p-value comparing two groups where</w:t>
      </w:r>
      <w:r>
        <w:t xml:space="preserve"> </w:t>
      </w:r>
      <w:r>
        <w:t xml:space="preserve">“</w:t>
      </w:r>
      <w:r>
        <w:t xml:space="preserve">*,</w:t>
      </w:r>
      <w:r>
        <w:t xml:space="preserve">”</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w:t>
      </w:r>
      <w:r>
        <w:t xml:space="preserve">represent 0.01 &lt;= p-value &lt; 0.05, 0.001 &lt;= p-value &lt; 0.01, and p-value &lt; 0.001, respectively. A p-value summary will only be shown form p-value less than 0.05.</w:t>
      </w:r>
    </w:p>
    <w:bookmarkEnd w:id="43"/>
    <w:bookmarkStart w:id="48" w:name="tables"/>
    <w:p>
      <w:pPr>
        <w:pStyle w:val="Heading2"/>
      </w:pPr>
      <w:r>
        <w:rPr>
          <w:rStyle w:val="SectionNumber"/>
        </w:rPr>
        <w:t xml:space="preserve">4.4</w:t>
      </w:r>
      <w:r>
        <w:tab/>
      </w:r>
      <w:r>
        <w:t xml:space="preserve">Tables</w:t>
      </w:r>
    </w:p>
    <w:bookmarkStart w:id="44" w:name="table-1"/>
    <w:p>
      <w:pPr>
        <w:pStyle w:val="Heading3"/>
      </w:pPr>
      <w:r>
        <w:rPr>
          <w:rStyle w:val="SectionNumber"/>
        </w:rPr>
        <w:t xml:space="preserve">4.4.1</w:t>
      </w:r>
      <w:r>
        <w:tab/>
      </w:r>
      <w:r>
        <w:t xml:space="preserve">Table 1</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3"/>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Original Scale</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0.110</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235.11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94.46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25.933</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377.82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164.83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89.277</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61.58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30.52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5.961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56.46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54.74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3.868</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1.968</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26.27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2.453</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0.906</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1.642</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e13 300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e13 300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0.336</w:t>
            </w:r>
          </w:p>
        </w:tc>
      </w:tr>
      <w:tr>
        <w:trPr>
          <w:cantSplit/>
          <w:trHeight w:val="360" w:hRule="auto"/>
        </w:trPr>
        <w:tc>
          <w:tcPr>
            <w:gridSpan w:val="5"/>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 level summary on the original scale.</w:t>
            </w:r>
          </w:p>
        </w:tc>
      </w:tr>
    </w:tbl>
    <w:p>
      <w:r>
        <w:br w:type="page"/>
      </w:r>
    </w:p>
    <w:bookmarkEnd w:id="44"/>
    <w:bookmarkStart w:id="45" w:name="table-2"/>
    <w:p>
      <w:pPr>
        <w:pStyle w:val="Heading3"/>
      </w:pPr>
      <w:r>
        <w:rPr>
          <w:rStyle w:val="SectionNumber"/>
        </w:rPr>
        <w:t xml:space="preserve">4.4.2</w:t>
      </w:r>
      <w:r>
        <w:tab/>
      </w:r>
      <w:r>
        <w:t xml:space="preserve">Table 2</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gridCol w:w="144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Transformed Scale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Back Transform</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vs. e13 no rap</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Transformed 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Transformed 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(-4.086, -2.623)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Wild Type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(-4.758, -2.869)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empty-NP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60.55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(0.332, 1.795)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empty-NP</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4.98</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145.50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44.36</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(0.253, 2.142)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0.012*</w:t>
            </w:r>
          </w:p>
        </w:tc>
      </w:tr>
      <w:tr>
        <w:trPr>
          <w:cantSplit/>
          <w:trHeight w:val="360" w:hRule="auto"/>
        </w:trPr>
        <w:tc>
          <w:tcPr>
            <w:gridSpan w:val="8"/>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Log transformation was applied to the data.  Difference and CI are estimated using model based LSmean</w:t>
            </w:r>
          </w:p>
        </w:tc>
      </w:tr>
    </w:tbl>
    <w:p>
      <w:r>
        <w:br w:type="page"/>
      </w:r>
    </w:p>
    <w:bookmarkEnd w:id="45"/>
    <w:bookmarkStart w:id="46" w:name="table-3"/>
    <w:p>
      <w:pPr>
        <w:pStyle w:val="Heading3"/>
      </w:pPr>
      <w:r>
        <w:rPr>
          <w:rStyle w:val="SectionNumber"/>
        </w:rPr>
        <w:t xml:space="preserve">4.4.3</w:t>
      </w:r>
      <w:r>
        <w:tab/>
      </w:r>
      <w:r>
        <w:t xml:space="preserve">Table 3</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Transformed Scale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Back Transform</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vs. e13 100</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vs. e13 200</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vs. e13 300</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Transformed 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Transformed 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no rap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(-0.147, 1.598)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(0.57, 2.314)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(1.455, 3.199)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no rap</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(-0.119, 2.117)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(0.673, 2.907)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(1.479, 3.714)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(-0.152, 1.585)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(0.732, 2.471)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(-0.324, 1.906)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(0.482, 2.713)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0.002*</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(0.016, 1.754)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0.045*</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 1.922)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0.225</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e13 300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e13 300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360" w:hRule="auto"/>
        </w:trPr>
        <w:tc>
          <w:tcPr>
            <w:gridSpan w:val="12"/>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Log transformation was applied to the data.  Difference and CI are estimated using model based LSmean</w:t>
            </w:r>
          </w:p>
        </w:tc>
      </w:tr>
    </w:tbl>
    <w:p>
      <w:r>
        <w:br w:type="page"/>
      </w:r>
    </w:p>
    <w:bookmarkEnd w:id="46"/>
    <w:bookmarkStart w:id="47" w:name="table-4"/>
    <w:p>
      <w:pPr>
        <w:pStyle w:val="Heading3"/>
      </w:pPr>
      <w:r>
        <w:rPr>
          <w:rStyle w:val="SectionNumber"/>
        </w:rPr>
        <w:t xml:space="preserve">4.4.4</w:t>
      </w:r>
      <w:r>
        <w:tab/>
      </w:r>
      <w:r>
        <w:t xml:space="preserve">Table 4</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vs. Wild Type</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vs. e13 empty-NP</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Treatment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Times Included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LSMean Diff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 value</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(1.759, 3.499)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(-2.661, -0.917)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e13 100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(1.696, 3.932)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(-3.314, -1.079)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(1.042, 2.785)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(-3.376, -1.634)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e13 200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(0.905, 3.141)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(-4.106, -1.869)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e13 300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Average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(0.158, 1.898)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(-4.261, -2.519)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e13 300</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Day 5</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(0.099, 2.334)</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0.028*</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b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(-4.912, -2.676)</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 0.001*</w:t>
            </w:r>
          </w:p>
        </w:tc>
      </w:tr>
      <w:tr>
        <w:trPr>
          <w:cantSplit/>
          <w:trHeight w:val="360" w:hRule="auto"/>
        </w:trPr>
        <w:tc>
          <w:tcPr>
            <w:gridSpan w:val="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 Log transformation was applied to the data.  Difference and CI are estimated using model based LSmean</w:t>
            </w:r>
          </w:p>
        </w:tc>
      </w:tr>
    </w:tbl>
    <w:bookmarkEnd w:id="47"/>
    <w:bookmarkEnd w:id="48"/>
    <w:bookmarkEnd w:id="49"/>
    <w:bookmarkStart w:id="69" w:name="references"/>
    <w:p>
      <w:pPr>
        <w:pStyle w:val="Heading1"/>
      </w:pPr>
      <w:r>
        <w:rPr>
          <w:rStyle w:val="SectionNumber"/>
        </w:rPr>
        <w:t xml:space="preserve">5</w:t>
      </w:r>
      <w:r>
        <w:tab/>
      </w:r>
      <w:r>
        <w:t xml:space="preserve">References</w:t>
      </w:r>
    </w:p>
    <w:bookmarkStart w:id="68" w:name="refs"/>
    <w:bookmarkStart w:id="51"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50">
        <w:r>
          <w:rPr>
            <w:rStyle w:val="Hyperlink"/>
          </w:rPr>
          <w:t xml:space="preserve">https://github.com/rstudio/rmarkdown</w:t>
        </w:r>
      </w:hyperlink>
      <w:r>
        <w:t xml:space="preserve">.</w:t>
      </w:r>
    </w:p>
    <w:bookmarkEnd w:id="51"/>
    <w:bookmarkStart w:id="53"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52">
        <w:r>
          <w:rPr>
            <w:rStyle w:val="Hyperlink"/>
          </w:rPr>
          <w:t xml:space="preserve">https://doi.org/10.5281/zenodo.4556067</w:t>
        </w:r>
      </w:hyperlink>
      <w:r>
        <w:t xml:space="preserve">.</w:t>
      </w:r>
    </w:p>
    <w:bookmarkEnd w:id="53"/>
    <w:bookmarkStart w:id="55"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54">
        <w:r>
          <w:rPr>
            <w:rStyle w:val="Hyperlink"/>
          </w:rPr>
          <w:t xml:space="preserve">http://www.jstor.org/stable/2531545</w:t>
        </w:r>
      </w:hyperlink>
      <w:r>
        <w:t xml:space="preserve">.</w:t>
      </w:r>
    </w:p>
    <w:bookmarkEnd w:id="55"/>
    <w:bookmarkStart w:id="57"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56">
        <w:r>
          <w:rPr>
            <w:rStyle w:val="Hyperlink"/>
          </w:rPr>
          <w:t xml:space="preserve">https://CRAN.R-project.org/package=emmeans</w:t>
        </w:r>
      </w:hyperlink>
      <w:r>
        <w:t xml:space="preserve">.</w:t>
      </w:r>
    </w:p>
    <w:bookmarkEnd w:id="57"/>
    <w:bookmarkStart w:id="59"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58">
        <w:r>
          <w:rPr>
            <w:rStyle w:val="Hyperlink"/>
          </w:rPr>
          <w:t xml:space="preserve">https://doi.org/10.1016/j.jspi.2005.09.007</w:t>
        </w:r>
      </w:hyperlink>
      <w:r>
        <w:t xml:space="preserve">.</w:t>
      </w:r>
    </w:p>
    <w:bookmarkEnd w:id="59"/>
    <w:bookmarkStart w:id="60"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60"/>
    <w:bookmarkStart w:id="62"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61">
        <w:r>
          <w:rPr>
            <w:rStyle w:val="Hyperlink"/>
          </w:rPr>
          <w:t xml:space="preserve">https://www.R-project.org/</w:t>
        </w:r>
      </w:hyperlink>
      <w:r>
        <w:t xml:space="preserve">.</w:t>
      </w:r>
    </w:p>
    <w:bookmarkEnd w:id="62"/>
    <w:bookmarkStart w:id="63" w:name="ref-shiny"/>
    <w:p>
      <w:pPr>
        <w:pStyle w:val="Bibliography"/>
      </w:pPr>
      <w:r>
        <w:t xml:space="preserve">RStudio, Inc. 2013.</w:t>
      </w:r>
      <w:r>
        <w:t xml:space="preserve"> </w:t>
      </w:r>
      <w:r>
        <w:rPr>
          <w:iCs/>
          <w:i/>
        </w:rPr>
        <w:t xml:space="preserve">Easy Web Applications in r.</w:t>
      </w:r>
    </w:p>
    <w:bookmarkEnd w:id="63"/>
    <w:bookmarkStart w:id="65"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64">
        <w:r>
          <w:rPr>
            <w:rStyle w:val="Hyperlink"/>
          </w:rPr>
          <w:t xml:space="preserve">https://plotly-r.com</w:t>
        </w:r>
      </w:hyperlink>
      <w:r>
        <w:t xml:space="preserve">.</w:t>
      </w:r>
    </w:p>
    <w:bookmarkEnd w:id="65"/>
    <w:bookmarkStart w:id="67"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66">
        <w:r>
          <w:rPr>
            <w:rStyle w:val="Hyperlink"/>
          </w:rPr>
          <w:t xml:space="preserve">https://ggplot2.tidyverse.org</w:t>
        </w:r>
      </w:hyperlink>
      <w:r>
        <w:t xml:space="preserve">.</w:t>
      </w:r>
    </w:p>
    <w:bookmarkEnd w:id="67"/>
    <w:bookmarkEnd w:id="68"/>
    <w:p>
      <w:r>
        <w:br w:type="page"/>
      </w:r>
    </w:p>
    <w:bookmarkEnd w:id="69"/>
    <w:bookmarkStart w:id="71"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1" name="Picture"/>
            <a:graphic>
              <a:graphicData uri="http://schemas.openxmlformats.org/drawingml/2006/picture">
                <pic:pic>
                  <pic:nvPicPr>
                    <pic:cNvPr descr="TEST_workflow.PNG" id="0" name="Picture"/>
                    <pic:cNvPicPr>
                      <a:picLocks noChangeArrowheads="1" noChangeAspect="1"/>
                    </pic:cNvPicPr>
                  </pic:nvPicPr>
                  <pic:blipFill>
                    <a:blip r:embed="rId70"/>
                    <a:stretch>
                      <a:fillRect/>
                    </a:stretch>
                  </pic:blipFill>
                  <pic:spPr bwMode="auto">
                    <a:xfrm>
                      <a:off x="0" y="0"/>
                      <a:ext cx="8229600" cy="4615159"/>
                    </a:xfrm>
                    <a:prstGeom prst="rect">
                      <a:avLst/>
                    </a:prstGeom>
                    <a:noFill/>
                    <a:ln w="9525">
                      <a:noFill/>
                      <a:headEnd/>
                      <a:tailEnd/>
                    </a:ln>
                  </pic:spPr>
                </pic:pic>
              </a:graphicData>
            </a:graphic>
          </wp:inline>
        </w:drawing>
      </w:r>
    </w:p>
    <w:bookmarkEnd w:id="71"/>
    <w:sectPr w:rsidR="009449BB"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54" Target="http://www.jstor.org/stable/2531545" TargetMode="External" /><Relationship Type="http://schemas.openxmlformats.org/officeDocument/2006/relationships/hyperlink" Id="rId56" Target="https://CRAN.R-project.org/package=emmeans" TargetMode="External" /><Relationship Type="http://schemas.openxmlformats.org/officeDocument/2006/relationships/hyperlink" Id="rId58" Target="https://doi.org/10.1016/j.jspi.2005.09.007" TargetMode="External" /><Relationship Type="http://schemas.openxmlformats.org/officeDocument/2006/relationships/hyperlink" Id="rId52" Target="https://doi.org/10.5281/zenodo.4556067" TargetMode="External" /><Relationship Type="http://schemas.openxmlformats.org/officeDocument/2006/relationships/hyperlink" Id="rId66" Target="https://ggplot2.tidyverse.org" TargetMode="External" /><Relationship Type="http://schemas.openxmlformats.org/officeDocument/2006/relationships/hyperlink" Id="rId50" Target="https://github.com/rstudio/rmarkdown" TargetMode="External" /><Relationship Type="http://schemas.openxmlformats.org/officeDocument/2006/relationships/hyperlink" Id="rId64" Target="https://plotly-r.com" TargetMode="External" /><Relationship Type="http://schemas.openxmlformats.org/officeDocument/2006/relationships/hyperlink" Id="rId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4" Target="http://www.jstor.org/stable/2531545" TargetMode="External" /><Relationship Type="http://schemas.openxmlformats.org/officeDocument/2006/relationships/hyperlink" Id="rId56" Target="https://CRAN.R-project.org/package=emmeans" TargetMode="External" /><Relationship Type="http://schemas.openxmlformats.org/officeDocument/2006/relationships/hyperlink" Id="rId58" Target="https://doi.org/10.1016/j.jspi.2005.09.007" TargetMode="External" /><Relationship Type="http://schemas.openxmlformats.org/officeDocument/2006/relationships/hyperlink" Id="rId52" Target="https://doi.org/10.5281/zenodo.4556067" TargetMode="External" /><Relationship Type="http://schemas.openxmlformats.org/officeDocument/2006/relationships/hyperlink" Id="rId66" Target="https://ggplot2.tidyverse.org" TargetMode="External" /><Relationship Type="http://schemas.openxmlformats.org/officeDocument/2006/relationships/hyperlink" Id="rId50" Target="https://github.com/rstudio/rmarkdown" TargetMode="External" /><Relationship Type="http://schemas.openxmlformats.org/officeDocument/2006/relationships/hyperlink" Id="rId64" Target="https://plotly-r.com"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Report for Treatment Evaluation</dc:title>
  <dc:creator>Treatment Evaluation Statistical Tool, TEST 1</dc:creator>
  <cp:keywords/>
  <dcterms:created xsi:type="dcterms:W3CDTF">2022-06-14T20:25:57Z</dcterms:created>
  <dcterms:modified xsi:type="dcterms:W3CDTF">2022-06-14T20:25:57Z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../test/bib.bib</vt:lpwstr>
  </property>
  <property fmtid="{D5CDD505-2E9C-101B-9397-08002B2CF9AE}" pid="4" name="date">
    <vt:lpwstr>06/14/2022</vt:lpwstr>
  </property>
  <property fmtid="{D5CDD505-2E9C-101B-9397-08002B2CF9AE}" pid="5" name="link-citations">
    <vt:lpwstr>yes</vt:lpwstr>
  </property>
  <property fmtid="{D5CDD505-2E9C-101B-9397-08002B2CF9AE}" pid="6" name="output">
    <vt:lpwstr/>
  </property>
  <property fmtid="{D5CDD505-2E9C-101B-9397-08002B2CF9AE}" pid="7" name="params">
    <vt:lpwstr/>
  </property>
</Properties>
</file>