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4A0A" w14:textId="33904999" w:rsidR="006427E0" w:rsidRDefault="00072DF6">
      <w:r>
        <w:t>Hello world</w:t>
      </w:r>
    </w:p>
    <w:sectPr w:rsidR="00642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F6"/>
    <w:rsid w:val="00072DF6"/>
    <w:rsid w:val="001813EA"/>
    <w:rsid w:val="006427E0"/>
    <w:rsid w:val="00AA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0860D"/>
  <w15:chartTrackingRefBased/>
  <w15:docId w15:val="{8A1047CE-1452-44E2-B276-13B6E021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7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7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7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7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7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7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7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7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7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7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7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7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72DF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72DF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72DF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72DF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72DF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72D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7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7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7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72DF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72DF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72DF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7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72DF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7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>Tweede Kamer der Staten-Generaal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Denijs, M.F. (Friso)</dc:creator>
  <cp:keywords/>
  <dc:description/>
  <cp:lastModifiedBy>Denijs, M.F. (Friso)</cp:lastModifiedBy>
  <cp:revision>1</cp:revision>
  <dcterms:created xsi:type="dcterms:W3CDTF">2026-08-23T16:55:00Z</dcterms:created>
  <dcterms:modified xsi:type="dcterms:W3CDTF">2026-08-23T16:55:00Z</dcterms:modified>
</cp:coreProperties>
</file>