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C00000"/>
          <w:sz w:val="48"/>
          <w:szCs w:val="48"/>
        </w:rPr>
        <w:t xml:space="preserve">I CONSIGLI DEL FARMACISTA</w:t>
      </w:r>
    </w:p>
    <w:p>
      <w:pPr>
        <w:spacing w:after="400"/>
        <w:jc w:val="center"/>
      </w:pPr>
      <w:r>
        <w:rPr>
          <w:rFonts w:ascii="Arial" w:cs="Arial" w:eastAsia="Arial" w:hAnsi="Arial"/>
          <w:b/>
          <w:bCs/>
          <w:color w:val="2E7D32"/>
          <w:sz w:val="56"/>
          <w:szCs w:val="56"/>
        </w:rPr>
        <w:t xml:space="preserve">CELIACHIA</w:t>
      </w:r>
    </w:p>
    <w:p>
      <w:pPr>
        <w:pStyle w:val="Heading2"/>
      </w:pPr>
      <w:r>
        <w:rPr>
          <w:rFonts w:ascii="Arial" w:cs="Arial" w:eastAsia="Arial" w:hAnsi="Arial"/>
          <w:b/>
          <w:bCs/>
          <w:color w:val="C00000"/>
          <w:sz w:val="32"/>
          <w:szCs w:val="32"/>
        </w:rPr>
        <w:t xml:space="preserve">Cos'è la Celiachia?</w:t>
      </w:r>
    </w:p>
    <w:p>
      <w:pPr>
        <w:spacing w:after="200"/>
      </w:pPr>
      <w:r>
        <w:rPr>
          <w:rFonts w:ascii="Arial" w:cs="Arial" w:eastAsia="Arial" w:hAnsi="Arial"/>
          <w:sz w:val="24"/>
          <w:szCs w:val="24"/>
        </w:rPr>
        <w:t xml:space="preserve">La malattia celiaca o celiachia è un'intolleranza permanente al glutine, un complesso di sostanze azotate che si forma durante l'impasto, con acqua, della farina di alcuni cereali, come avena*, frumento, farro, kamut, orzo, segale, spelta e triticale.</w:t>
      </w:r>
    </w:p>
    <w:p>
      <w:pPr>
        <w:spacing w:after="200"/>
      </w:pPr>
      <w:r>
        <w:rPr>
          <w:rFonts w:ascii="Arial" w:cs="Arial" w:eastAsia="Arial" w:hAnsi="Arial"/>
          <w:sz w:val="24"/>
          <w:szCs w:val="24"/>
        </w:rPr>
        <w:t xml:space="preserve">In senso stretto la celiachia non è una malattia, ma una semplice condizione che per manifestarsi necessita della contemporanea presenza di una predisposizione genetica e di un consumo di alimenti contenenti glutine.</w:t>
      </w:r>
    </w:p>
    <w:p>
      <w:pPr>
        <w:spacing w:after="200"/>
      </w:pPr>
      <w:r>
        <w:rPr>
          <w:rFonts w:ascii="Arial" w:cs="Arial" w:eastAsia="Arial" w:hAnsi="Arial"/>
          <w:sz w:val="24"/>
          <w:szCs w:val="24"/>
        </w:rPr>
        <w:t xml:space="preserve">In Italia è riconosciuta come malattia sociale, tanto che si stima colpisca all'incirca 400/600.000 Italiani, cioè una persona ogni 100/150 abitanti. Dato che molti soggetti convivono per molti anni con questa condizione senza accusare disturbi particolarmente gravi, il numero di casi diagnosticati (circa 160mila nel 2012) è molto inferiore rispetto alla reale incidenza della patologia. Per combattere la malattia celiaca l'unica terapia attualmente valida è quella dietetica.</w:t>
      </w:r>
    </w:p>
    <w:p>
      <w:pPr>
        <w:pStyle w:val="Heading2"/>
      </w:pPr>
      <w:r>
        <w:rPr>
          <w:rFonts w:ascii="Arial" w:cs="Arial" w:eastAsia="Arial" w:hAnsi="Arial"/>
          <w:b/>
          <w:bCs/>
          <w:color w:val="C00000"/>
          <w:sz w:val="32"/>
          <w:szCs w:val="32"/>
        </w:rPr>
        <w:t xml:space="preserve">CAUSE</w:t>
      </w:r>
    </w:p>
    <w:p>
      <w:pPr>
        <w:spacing w:after="200"/>
      </w:pPr>
      <w:r>
        <w:rPr>
          <w:rFonts w:ascii="Arial" w:cs="Arial" w:eastAsia="Arial" w:hAnsi="Arial"/>
          <w:sz w:val="24"/>
          <w:szCs w:val="24"/>
        </w:rPr>
        <w:t xml:space="preserve">Il celiaco presenta una predisposizione genetica all'insorgenza del disturbo. La predisposizione si ha in presenza di specifiche sequenze di DNA del sistema dell'antigene leucocitario umano (HLA), note come HLA-DQ2; HLA-DQ8. Questi geni definiscono la struttura con cui le nostre cellule immunitarie riconoscono i diversi composti che vengono a contatto con esse. In assenza di queste sequenze specifiche di DNA, la diagnosi della malattia è virtualmente esclusa o altamente improbabile.</w:t>
      </w:r>
    </w:p>
    <w:p>
      <w:pPr>
        <w:spacing w:after="200"/>
      </w:pPr>
      <w:r>
        <w:rPr>
          <w:rFonts w:ascii="Arial" w:cs="Arial" w:eastAsia="Arial" w:hAnsi="Arial"/>
          <w:sz w:val="24"/>
          <w:szCs w:val="24"/>
        </w:rPr>
        <w:t xml:space="preserve">La presenza di queste sequenze non indica tuttavia la sicurezza di essere malati. Infatti, circa il 25-30% della popolazione mondiale presenta queste sequenze ma solo una percentuale (intorno al 3%) sviluppa la celiachia, suggerendo l'importanza di altri fattori nella genesi del disturbo.</w:t>
      </w:r>
    </w:p>
    <w:p>
      <w:pPr>
        <w:spacing w:after="200"/>
      </w:pPr>
      <w:r>
        <w:rPr>
          <w:rFonts w:ascii="Arial" w:cs="Arial" w:eastAsia="Arial" w:hAnsi="Arial"/>
          <w:sz w:val="24"/>
          <w:szCs w:val="24"/>
        </w:rPr>
        <w:t xml:space="preserve">È stato ipotizzato un ruolo dell'esposizione troppo precoce al glutine; Di una infezione intestinale da rotavirus nell'infanzia come possibili cause di "innesco" della celiachia. Secondo il National Institute of Diabetes and Digestive and Kidney Diseases americano, l'allattamento al seno sembrerebbe giocare un ruolo protettivo verso la comparsa dell'intolleranza, dato che ritarderebbe l'introduzione del glutine nella dieta del neonato, diminuendo l'insorgenza di una precoce risposta immunitaria.</w:t>
      </w:r>
    </w:p>
    <w:p>
      <w:pPr>
        <w:spacing w:after="200"/>
      </w:pPr>
      <w:r>
        <w:rPr>
          <w:rFonts w:ascii="Arial" w:cs="Arial" w:eastAsia="Arial" w:hAnsi="Arial"/>
          <w:sz w:val="24"/>
          <w:szCs w:val="24"/>
        </w:rPr>
        <w:t xml:space="preserve">L'ipotesi di un ruolo delle migliorate condizioni igieniche nell'insorgenza del disturbo è ancora sotto studio. Recentemente si è posta maggiore attenzione sul ruolo della diversità del microbiota intestinale. Il razionale alla base di questa ipotesi si basa sul fatto che la popolazione intestinale sia responsabile della decisione di reazione self e non self rispetto ad alcuni antigeni.</w:t>
      </w:r>
    </w:p>
    <w:p>
      <w:pPr>
        <w:spacing w:after="200"/>
      </w:pPr>
      <w:r>
        <w:rPr>
          <w:rFonts w:ascii="Arial" w:cs="Arial" w:eastAsia="Arial" w:hAnsi="Arial"/>
          <w:sz w:val="24"/>
          <w:szCs w:val="24"/>
        </w:rPr>
        <w:t xml:space="preserve">Da questo punto di vista, una componente non equilibrata della flora batterica intestinale potrebbe predisporre all'insorgenza della risposta autoimmune al glutine e quindi alla celiachia. Anche molecole presenti a livello delle cellule della mucosa intestinale potrebbero giocare un ruolo nella genesi della celiachia.</w:t>
      </w:r>
    </w:p>
    <w:p>
      <w:pPr>
        <w:spacing w:after="200"/>
      </w:pPr>
      <w:r>
        <w:rPr>
          <w:rFonts w:ascii="Arial" w:cs="Arial" w:eastAsia="Arial" w:hAnsi="Arial"/>
          <w:sz w:val="24"/>
          <w:szCs w:val="24"/>
        </w:rPr>
        <w:t xml:space="preserve">È il caso della zonulina, una proteina importante per la regolazione delle giunzioni tra le cellule intestinali. Le giunzioni intercellulari sono come canali che mettono in comunicazione le cellule tra di loro e permettono il passaggio facilitato delle sostanze. La gliadina del glutine aumenta l'espressione della zonulina e ciò causa l'apertura di un numero maggiore di giunzioni. In questo modo si ha l'aumento della permeabilità intestinale, con l'ingresso di un maggior numero di peptidi immunogenici a livello della mucosa.</w:t>
      </w:r>
    </w:p>
    <w:p>
      <w:pPr>
        <w:spacing w:after="200"/>
      </w:pPr>
      <w:r>
        <w:rPr>
          <w:rFonts w:ascii="Arial" w:cs="Arial" w:eastAsia="Arial" w:hAnsi="Arial"/>
          <w:sz w:val="24"/>
          <w:szCs w:val="24"/>
        </w:rPr>
        <w:t xml:space="preserve">La celiachia è uno dei disordini autoimmuni più diffusi. Attualmente si stima che interessi circa l'1% della popolazione generale, e che sia più frequente tra le donne (3 volte più che negli uomini). Negli Stati Uniti, tra il 1975 e il 2000, i casi di celiachia sono aumentati di ben 5 volte.</w:t>
      </w:r>
    </w:p>
    <w:p>
      <w:pPr>
        <w:spacing w:after="200"/>
      </w:pPr>
      <w:r>
        <w:rPr>
          <w:rFonts w:ascii="Arial" w:cs="Arial" w:eastAsia="Arial" w:hAnsi="Arial"/>
          <w:sz w:val="24"/>
          <w:szCs w:val="24"/>
        </w:rPr>
        <w:t xml:space="preserve">Il Ministero della Salute stima che il numero teorico di celiaci in Italia sia intorno ai 600'000, con un numero di effettivi diagnosticati di 214'239, numeri in crescita continua. La regione con il numero maggiore di celiaci è la Lombardia, seguita da Lazio e Campania.</w:t>
      </w:r>
    </w:p>
    <w:p>
      <w:pPr>
        <w:spacing w:after="400"/>
      </w:pPr>
      <w:r>
        <w:rPr>
          <w:rFonts w:ascii="Arial" w:cs="Arial" w:eastAsia="Arial" w:hAnsi="Arial"/>
          <w:sz w:val="24"/>
          <w:szCs w:val="24"/>
        </w:rPr>
        <w:t xml:space="preserve">Sebbene la malattia celiaca sia una delle patologie croniche più frequenti, l'eterogeneità delle sue espressioni cliniche spesso non la rende tempestivamente riconoscibile.</w:t>
      </w:r>
    </w:p>
    <w:p>
      <w:pPr>
        <w:pStyle w:val="Heading2"/>
      </w:pPr>
      <w:r>
        <w:rPr>
          <w:rFonts w:ascii="Arial" w:cs="Arial" w:eastAsia="Arial" w:hAnsi="Arial"/>
          <w:b/>
          <w:bCs/>
          <w:color w:val="C00000"/>
          <w:sz w:val="32"/>
          <w:szCs w:val="32"/>
        </w:rPr>
        <w:t xml:space="preserve">FARMACI</w:t>
      </w:r>
    </w:p>
    <w:p>
      <w:pPr>
        <w:spacing w:after="200"/>
      </w:pPr>
      <w:r>
        <w:rPr>
          <w:rFonts w:ascii="Arial" w:cs="Arial" w:eastAsia="Arial" w:hAnsi="Arial"/>
          <w:sz w:val="24"/>
          <w:szCs w:val="24"/>
        </w:rPr>
        <w:t xml:space="preserve">La malattia celiaca si può diagnosticare tramite delle analisi del sangue, per attestare la presenza di particolari anticorpi o autoanticorpi. Il test per celiachia in laboratorio si fa con un prelievo ematico e verifica se nel sangue sono presenti tTGA, EMA e AGA. Se queste molecole sono in numero elevato, è alta la possibilità di essere affetti da intolleranza al glutine. Se la diagnosi è positiva, si passa poi alla biopsia dell'epitelio intestinale, che confermerà l'esito del test ematico.</w:t>
      </w:r>
    </w:p>
    <w:p>
      <w:pPr>
        <w:spacing w:after="400"/>
      </w:pPr>
      <w:r>
        <w:rPr>
          <w:rFonts w:ascii="Arial" w:cs="Arial" w:eastAsia="Arial" w:hAnsi="Arial"/>
          <w:sz w:val="24"/>
          <w:szCs w:val="24"/>
        </w:rPr>
        <w:t xml:space="preserve">Se, invece, hai il sospetto di soffrire di celiachia e vuoi una conferma prima di recarti dal medico per una diagnosi più completa, puoi fare il test celiachia in farmacia. È un esame veloce e attendibile, che rileva la presenza degli anticorpi anti-transglutaminasi di tipo A. Ti viene prelevata una goccia di sangue dal polpastrello e dopo pochissimo tempo ricevi il risultato. Nel caso sia positivo, devi recarti dal medico di base e seguire l'iter canonico che ti abbiamo indicato poco sopra.</w:t>
      </w:r>
    </w:p>
    <w:p>
      <w:pPr>
        <w:pStyle w:val="Heading2"/>
      </w:pPr>
      <w:r>
        <w:rPr>
          <w:rFonts w:ascii="Arial" w:cs="Arial" w:eastAsia="Arial" w:hAnsi="Arial"/>
          <w:b/>
          <w:bCs/>
          <w:color w:val="C00000"/>
          <w:sz w:val="32"/>
          <w:szCs w:val="32"/>
        </w:rPr>
        <w:t xml:space="preserve">IL DECALOGO PER UN CORRETTO USO DEI FARMACI</w:t>
      </w:r>
    </w:p>
    <w:p>
      <w:pPr>
        <w:pStyle w:val="ListParagraph"/>
        <w:numPr>
          <w:ilvl w:val="0"/>
          <w:numId w:val="2"/>
        </w:numPr>
        <w:spacing w:after="160"/>
      </w:pPr>
      <w:r>
        <w:rPr>
          <w:rFonts w:ascii="Arial" w:cs="Arial" w:eastAsia="Arial" w:hAnsi="Arial"/>
          <w:sz w:val="24"/>
          <w:szCs w:val="24"/>
        </w:rPr>
        <w:t xml:space="preserve">Nell'usare il farmaco rispetta la posologia dose, tempo e modalità di somministrazione indicata dal medico.</w:t>
      </w:r>
    </w:p>
    <w:p>
      <w:pPr>
        <w:pStyle w:val="ListParagraph"/>
        <w:numPr>
          <w:ilvl w:val="0"/>
          <w:numId w:val="2"/>
        </w:numPr>
        <w:spacing w:after="160"/>
      </w:pPr>
      <w:r>
        <w:rPr>
          <w:rFonts w:ascii="Arial" w:cs="Arial" w:eastAsia="Arial" w:hAnsi="Arial"/>
          <w:sz w:val="24"/>
          <w:szCs w:val="24"/>
        </w:rPr>
        <w:t xml:space="preserve">Non assumere più farmaci contemporaneamente senza il consiglio del medico o del farmacista.</w:t>
      </w:r>
    </w:p>
    <w:p>
      <w:pPr>
        <w:pStyle w:val="ListParagraph"/>
        <w:numPr>
          <w:ilvl w:val="0"/>
          <w:numId w:val="2"/>
        </w:numPr>
        <w:spacing w:after="160"/>
      </w:pPr>
      <w:r>
        <w:rPr>
          <w:rFonts w:ascii="Arial" w:cs="Arial" w:eastAsia="Arial" w:hAnsi="Arial"/>
          <w:sz w:val="24"/>
          <w:szCs w:val="24"/>
        </w:rPr>
        <w:t xml:space="preserve">Non interrompere arbitrariamente una terapia.</w:t>
      </w:r>
    </w:p>
    <w:p>
      <w:pPr>
        <w:pStyle w:val="ListParagraph"/>
        <w:numPr>
          <w:ilvl w:val="0"/>
          <w:numId w:val="2"/>
        </w:numPr>
        <w:spacing w:after="160"/>
      </w:pPr>
      <w:r>
        <w:rPr>
          <w:rFonts w:ascii="Arial" w:cs="Arial" w:eastAsia="Arial" w:hAnsi="Arial"/>
          <w:sz w:val="24"/>
          <w:szCs w:val="24"/>
        </w:rPr>
        <w:t xml:space="preserve">Controlla sempre la data di scadenza prima di utilizzare il farmaco.</w:t>
      </w:r>
    </w:p>
    <w:p>
      <w:pPr>
        <w:pStyle w:val="ListParagraph"/>
        <w:numPr>
          <w:ilvl w:val="0"/>
          <w:numId w:val="2"/>
        </w:numPr>
        <w:spacing w:after="160"/>
      </w:pPr>
      <w:r>
        <w:rPr>
          <w:rFonts w:ascii="Arial" w:cs="Arial" w:eastAsia="Arial" w:hAnsi="Arial"/>
          <w:sz w:val="24"/>
          <w:szCs w:val="24"/>
        </w:rPr>
        <w:t xml:space="preserve">Ricorda che alcuni farmaci (colliri, sciroppi, gocce, spray), una volta aperti scadono prima della data indicata sulla confezione.</w:t>
      </w:r>
    </w:p>
    <w:p>
      <w:pPr>
        <w:pStyle w:val="ListParagraph"/>
        <w:numPr>
          <w:ilvl w:val="0"/>
          <w:numId w:val="2"/>
        </w:numPr>
        <w:spacing w:after="160"/>
      </w:pPr>
      <w:r>
        <w:rPr>
          <w:rFonts w:ascii="Arial" w:cs="Arial" w:eastAsia="Arial" w:hAnsi="Arial"/>
          <w:sz w:val="24"/>
          <w:szCs w:val="24"/>
        </w:rPr>
        <w:t xml:space="preserve">Per dubbi chiedi consiglio al medico o al farmacista.</w:t>
      </w:r>
    </w:p>
    <w:p>
      <w:pPr>
        <w:pStyle w:val="ListParagraph"/>
        <w:numPr>
          <w:ilvl w:val="0"/>
          <w:numId w:val="2"/>
        </w:numPr>
        <w:spacing w:after="160"/>
      </w:pPr>
      <w:r>
        <w:rPr>
          <w:rFonts w:ascii="Arial" w:cs="Arial" w:eastAsia="Arial" w:hAnsi="Arial"/>
          <w:sz w:val="24"/>
          <w:szCs w:val="24"/>
        </w:rPr>
        <w:t xml:space="preserve">Conserva integra la confezione senza gettare l'astuccio e il foglietto illustrativo.</w:t>
      </w:r>
    </w:p>
    <w:p>
      <w:pPr>
        <w:pStyle w:val="ListParagraph"/>
        <w:numPr>
          <w:ilvl w:val="0"/>
          <w:numId w:val="2"/>
        </w:numPr>
        <w:spacing w:after="160"/>
      </w:pPr>
      <w:r>
        <w:rPr>
          <w:rFonts w:ascii="Arial" w:cs="Arial" w:eastAsia="Arial" w:hAnsi="Arial"/>
          <w:sz w:val="24"/>
          <w:szCs w:val="24"/>
        </w:rPr>
        <w:t xml:space="preserve">Riponi i farmaci in luogo fresco e asciutto; non in bagno, non in cucina, ma in luogo espressamente specificato.</w:t>
      </w:r>
    </w:p>
    <w:p>
      <w:pPr>
        <w:pStyle w:val="ListParagraph"/>
        <w:numPr>
          <w:ilvl w:val="0"/>
          <w:numId w:val="2"/>
        </w:numPr>
        <w:spacing w:after="160"/>
      </w:pPr>
      <w:r>
        <w:rPr>
          <w:rFonts w:ascii="Arial" w:cs="Arial" w:eastAsia="Arial" w:hAnsi="Arial"/>
          <w:sz w:val="24"/>
          <w:szCs w:val="24"/>
        </w:rPr>
        <w:t xml:space="preserve">Tieni lontano i farmaci dalla portata dei bambini.</w:t>
      </w:r>
    </w:p>
    <w:p>
      <w:pPr>
        <w:pStyle w:val="ListParagraph"/>
        <w:numPr>
          <w:ilvl w:val="0"/>
          <w:numId w:val="2"/>
        </w:numPr>
        <w:spacing w:after="160"/>
      </w:pPr>
      <w:r>
        <w:rPr>
          <w:rFonts w:ascii="Arial" w:cs="Arial" w:eastAsia="Arial" w:hAnsi="Arial"/>
          <w:sz w:val="24"/>
          <w:szCs w:val="24"/>
        </w:rPr>
        <w:t xml:space="preserve">Non gettare i farmaci nella spazzatura, ma negli appositi contenitori per i rifiuti differenziati collocati all'interno o in prossimità delle farmacie.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C00000"/>
      <w:sz w:val="40"/>
      <w:szCs w:val="40"/>
    </w:rPr>
  </w:style>
  <w:style w:type="paragraph" w:styleId="Heading2">
    <w:name w:val="Heading 2"/>
    <w:basedOn w:val="Normal"/>
    <w:next w:val="Normal"/>
    <w:qFormat/>
    <w:pPr>
      <w:spacing w:after="180" w:before="300"/>
      <w:outlineLvl w:val="1"/>
    </w:pPr>
    <w:rPr>
      <w:rFonts w:ascii="Arial" w:cs="Arial" w:eastAsia="Arial" w:hAnsi="Arial"/>
      <w:b/>
      <w:bCs/>
      <w:color w:val="2E7D32"/>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2026-04-15T09:23:37.011Z</dcterms:created>
  <dcterms:modified xsi:type="dcterms:W3CDTF">2026-04-15T09:23:37.012Z</dcterms:modified>
</cp:coreProperties>
</file>

<file path=docProps/custom.xml><?xml version="1.0" encoding="utf-8"?>
<Properties xmlns="http://schemas.openxmlformats.org/officeDocument/2006/custom-properties" xmlns:vt="http://schemas.openxmlformats.org/officeDocument/2006/docPropsVTypes"/>
</file>