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C00000"/>
          <w:sz w:val="48"/>
          <w:szCs w:val="48"/>
        </w:rPr>
        <w:t xml:space="preserve">I CONSIGLI DEL FARMACISTA</w:t>
      </w:r>
    </w:p>
    <w:p>
      <w:pPr>
        <w:spacing w:after="400"/>
        <w:jc w:val="center"/>
      </w:pPr>
      <w:r>
        <w:rPr>
          <w:rFonts w:ascii="Arial" w:cs="Arial" w:eastAsia="Arial" w:hAnsi="Arial"/>
          <w:b/>
          <w:bCs/>
          <w:color w:val="2E7D32"/>
          <w:sz w:val="56"/>
          <w:szCs w:val="56"/>
        </w:rPr>
        <w:t xml:space="preserve">ERITEMA SOLARE</w:t>
      </w:r>
    </w:p>
    <w:p>
      <w:pPr>
        <w:pStyle w:val="Heading2"/>
      </w:pPr>
      <w:r>
        <w:rPr>
          <w:rFonts w:ascii="Arial" w:cs="Arial" w:eastAsia="Arial" w:hAnsi="Arial"/>
          <w:b/>
          <w:bCs/>
          <w:color w:val="C00000"/>
          <w:sz w:val="32"/>
          <w:szCs w:val="32"/>
        </w:rPr>
        <w:t xml:space="preserve">Che cos'è l'Eritema Solare?</w:t>
      </w:r>
    </w:p>
    <w:p>
      <w:pPr>
        <w:spacing w:after="200"/>
      </w:pPr>
      <w:r>
        <w:rPr>
          <w:rFonts w:ascii="Arial" w:cs="Arial" w:eastAsia="Arial" w:hAnsi="Arial"/>
          <w:sz w:val="24"/>
          <w:szCs w:val="24"/>
        </w:rPr>
        <w:t xml:space="preserve">L'eritema solare è un'infiammazione della pelle che può svilupparsi in seguito ad esposizioni al sole eccessive e prolungate; questa condizione rientra tra le forme di allergia cutanea e si manifesta con pruriti e arrossamenti più o meno intensi, marcati ed estesi.</w:t>
      </w:r>
    </w:p>
    <w:p>
      <w:pPr>
        <w:spacing w:after="200"/>
      </w:pPr>
      <w:r>
        <w:rPr>
          <w:rFonts w:ascii="Arial" w:cs="Arial" w:eastAsia="Arial" w:hAnsi="Arial"/>
          <w:sz w:val="24"/>
          <w:szCs w:val="24"/>
        </w:rPr>
        <w:t xml:space="preserve">L'eritema solare è caratterizzato da gravità variabile, poiché può andare da una scottatura limitata agli strati superficiali della cute, fino a ustioni di primo e secondo grado.</w:t>
      </w:r>
    </w:p>
    <w:p>
      <w:pPr>
        <w:spacing w:after="200"/>
      </w:pPr>
      <w:r>
        <w:rPr>
          <w:rFonts w:ascii="Arial" w:cs="Arial" w:eastAsia="Arial" w:hAnsi="Arial"/>
          <w:sz w:val="24"/>
          <w:szCs w:val="24"/>
        </w:rPr>
        <w:t xml:space="preserve">Nei bambini, specie se al di sotto dei 3 anni, la sovraesposizione al sole è molto più dannosa rispetto all'adulto, poiché lo strato corneo della pelle è più sottile e la produzione di melanina è invece ridotta; nello specifico i bambini nei primi mesi di vita non dovrebbero essere esposti alla luce solare diretta.</w:t>
      </w:r>
    </w:p>
    <w:p>
      <w:pPr>
        <w:spacing w:after="400"/>
      </w:pPr>
      <w:r>
        <w:rPr>
          <w:rFonts w:ascii="Arial" w:cs="Arial" w:eastAsia="Arial" w:hAnsi="Arial"/>
          <w:sz w:val="24"/>
          <w:szCs w:val="24"/>
        </w:rPr>
        <w:t xml:space="preserve">Gli anziani sono un'altra categoria vulnerabile in tal senso, poiché anche in questo caso la pelle è più sensibile ai raggi ultravioletti. Infine, anche le parti del corpo non sono tutte sensibili allo stesso modo, infatti occhi, naso e labbra sono più sensibili rispetto a braccia e gambe.</w:t>
      </w:r>
    </w:p>
    <w:p>
      <w:pPr>
        <w:pStyle w:val="Heading2"/>
      </w:pPr>
      <w:r>
        <w:rPr>
          <w:rFonts w:ascii="Arial" w:cs="Arial" w:eastAsia="Arial" w:hAnsi="Arial"/>
          <w:b/>
          <w:bCs/>
          <w:color w:val="C00000"/>
          <w:sz w:val="32"/>
          <w:szCs w:val="32"/>
        </w:rPr>
        <w:t xml:space="preserve">CAUSE</w:t>
      </w:r>
    </w:p>
    <w:p>
      <w:pPr>
        <w:spacing w:after="200"/>
      </w:pPr>
      <w:r>
        <w:rPr>
          <w:rFonts w:ascii="Arial" w:cs="Arial" w:eastAsia="Arial" w:hAnsi="Arial"/>
          <w:sz w:val="24"/>
          <w:szCs w:val="24"/>
        </w:rPr>
        <w:t xml:space="preserve">La causa alla base della comparsa dell'eritema solare è da ricercare nell'esposizione alle radiazioni solari ultraviolette di tipo UVB ed UVA. Queste radiazioni possiedono diverso potere di penetrazione nella cute: i raggi UVB si limitano a penetrare l'epidermide (lo strato più superficiale della pelle), mentre gli UVA sono in grado di raggiungere il derma (lo strato immediatamente successivo all'epidermide) fino alla sua porzione media-profonda.</w:t>
      </w:r>
    </w:p>
    <w:p>
      <w:pPr>
        <w:spacing w:after="200"/>
      </w:pPr>
      <w:r>
        <w:rPr>
          <w:rFonts w:ascii="Arial" w:cs="Arial" w:eastAsia="Arial" w:hAnsi="Arial"/>
          <w:sz w:val="24"/>
          <w:szCs w:val="24"/>
        </w:rPr>
        <w:t xml:space="preserve">Le radiazioni UVB sono le principali responsabili delle ustioni solari: hanno una lunghezza d'onda compresa tra 280 e 320 nm e raggiungono la superficie terrestre con la massima intensità quando il sole è alto, ovvero nelle ore centrali della giornata in cui le radiazioni sono perpendicolari alla terra; queste radiazioni sono bloccate dai vetri delle finestre, ma non dall'acqua, motivo per cui ci si può scottare durante i bagni nel mare. Anche le sorgenti di luce artificiale emettono radiazioni UVB.</w:t>
      </w:r>
    </w:p>
    <w:p>
      <w:pPr>
        <w:spacing w:after="200"/>
      </w:pPr>
      <w:r>
        <w:rPr>
          <w:rFonts w:ascii="Arial" w:cs="Arial" w:eastAsia="Arial" w:hAnsi="Arial"/>
          <w:sz w:val="24"/>
          <w:szCs w:val="24"/>
        </w:rPr>
        <w:t xml:space="preserve">L'esposizione alle UVB induce arrossamento (eritema) e desquamazione per il rilascio di mediatori dell'infiammazione da parte delle cellule della cute (cheratinociti) danneggiate; inoltre l'aumento della produzione della melanina induce un colorito scuro dopo 48-72 ore (abbronzatura ritardata).</w:t>
      </w:r>
    </w:p>
    <w:p>
      <w:pPr>
        <w:spacing w:after="200"/>
      </w:pPr>
      <w:r>
        <w:rPr>
          <w:rFonts w:ascii="Arial" w:cs="Arial" w:eastAsia="Arial" w:hAnsi="Arial"/>
          <w:sz w:val="24"/>
          <w:szCs w:val="24"/>
        </w:rPr>
        <w:t xml:space="preserve">Una conseguenza più temibile delle radiazioni UVB è l'induzione di un danno del materiale genetico dei cheratinociti dell'epidermide (DNA e RNA): queste mutazioni sono responsabili della cancerogenesi, ovvero della modificazione cellulare che porta all'insorgenza dei tumori.</w:t>
      </w:r>
    </w:p>
    <w:p>
      <w:pPr>
        <w:spacing w:after="200"/>
      </w:pPr>
      <w:r>
        <w:rPr>
          <w:rFonts w:ascii="Arial" w:cs="Arial" w:eastAsia="Arial" w:hAnsi="Arial"/>
          <w:sz w:val="24"/>
          <w:szCs w:val="24"/>
        </w:rPr>
        <w:t xml:space="preserve">Le radiazioni inoltre deprimono i linfociti T e le cellule di Langerhans, che fanno parte del sistema immunitario cutaneo, riducendo la capacità di difesa dalle infezioni ed anche la capacità dell'organismo di identificare e distruggere le cellule danneggiate.</w:t>
      </w:r>
    </w:p>
    <w:p>
      <w:pPr>
        <w:spacing w:after="200"/>
      </w:pPr>
      <w:r>
        <w:rPr>
          <w:rFonts w:ascii="Arial" w:cs="Arial" w:eastAsia="Arial" w:hAnsi="Arial"/>
          <w:sz w:val="24"/>
          <w:szCs w:val="24"/>
        </w:rPr>
        <w:t xml:space="preserve">Le radiazioni UVA hanno una lunghezza d'onda superiore alle UVB (320-400 nm), sono anch'esse presenti nella luce solare naturale e raggiungono la superficie terrestre. Le UVA, che hanno un'intensità nella luce solare molto superiore rispetto alle UVB, causano rapidamente sia eritema che imbrunimento della cute. In condizioni di esposizione naturale, l'eritema è ascrivibile alle radiazioni UVB per l'80% e alle UVA per il 20%.</w:t>
      </w:r>
    </w:p>
    <w:p>
      <w:pPr>
        <w:spacing w:after="200"/>
      </w:pPr>
      <w:r>
        <w:rPr>
          <w:rFonts w:ascii="Arial" w:cs="Arial" w:eastAsia="Arial" w:hAnsi="Arial"/>
          <w:sz w:val="24"/>
          <w:szCs w:val="24"/>
        </w:rPr>
        <w:t xml:space="preserve">Sono a rischio di scottature solari gli individui con cute pallida o bianca e con limitata capacità di abbronzarsi, ovvero le persone con fototipo I e II che spesso hanno capelli biondi o rossi, occhi azzurri o verdi.</w:t>
      </w:r>
    </w:p>
    <w:p>
      <w:pPr>
        <w:spacing w:after="400"/>
      </w:pPr>
      <w:r>
        <w:rPr>
          <w:rFonts w:ascii="Arial" w:cs="Arial" w:eastAsia="Arial" w:hAnsi="Arial"/>
          <w:sz w:val="24"/>
          <w:szCs w:val="24"/>
        </w:rPr>
        <w:t xml:space="preserve">Il rischio è invece ridotto peri soggetti con: fototipo III e IV, che hanno colorito cutaneo di base bianco (fototipo III) e bruno chiaro (IV) e si abbronzano abbastanza facilmente, scottandosi qualche volta o mai; fototipo V e VI, che spesso hanno capelli e occhi scuri, hanno rispettivamente un colorito cutaneo che va dal bruno al nero e si abbronzano molto facilmente non ustionandosi mai. Le ustioni solari possono verificarsi a qualsiasi latitudine geografica. Sono frequenti in seguito ad esposizioni solari intense in persone con cute chiara che lavorano al chiuso per la maggior parte dell'anno e che si espongono al sole solo in estate, specialmente nelle ore più calde, senza adeguata protezione.</w:t>
      </w:r>
    </w:p>
    <w:p>
      <w:pPr>
        <w:pStyle w:val="Heading2"/>
      </w:pPr>
      <w:r>
        <w:rPr>
          <w:rFonts w:ascii="Arial" w:cs="Arial" w:eastAsia="Arial" w:hAnsi="Arial"/>
          <w:b/>
          <w:bCs/>
          <w:color w:val="C00000"/>
          <w:sz w:val="32"/>
          <w:szCs w:val="32"/>
        </w:rPr>
        <w:t xml:space="preserve">FARMACI</w:t>
      </w:r>
    </w:p>
    <w:p>
      <w:pPr>
        <w:spacing w:after="200"/>
      </w:pPr>
      <w:r>
        <w:rPr>
          <w:rFonts w:ascii="Arial" w:cs="Arial" w:eastAsia="Arial" w:hAnsi="Arial"/>
          <w:sz w:val="24"/>
          <w:szCs w:val="24"/>
        </w:rPr>
        <w:t xml:space="preserve">La voglia di tintarella con il bel sole è tanta, ma i pericoli dei raggi solari non riguardano solo le scottature o gli eritemi.</w:t>
      </w:r>
    </w:p>
    <w:p>
      <w:pPr>
        <w:spacing w:after="200"/>
      </w:pPr>
      <w:r>
        <w:rPr>
          <w:rFonts w:ascii="Arial" w:cs="Arial" w:eastAsia="Arial" w:hAnsi="Arial"/>
          <w:sz w:val="24"/>
          <w:szCs w:val="24"/>
        </w:rPr>
        <w:t xml:space="preserve">Molti farmaci sono dannosi se assunti in contemporanea con l'esposizione al sole; rossori, eritemi, eczemi e in alcuni casi vere e proprie ustioni di 1 e 2 grado, sono solo alcune delle possibili reazioni avverse. Per evitare questi spiacevoli inconvenienti, leggi e annota i farmaci che non possono essere assunti durante l'esposizione al sole.</w:t>
      </w:r>
    </w:p>
    <w:p>
      <w:pPr>
        <w:spacing w:after="200"/>
      </w:pPr>
      <w:r>
        <w:rPr>
          <w:rFonts w:ascii="Arial" w:cs="Arial" w:eastAsia="Arial" w:hAnsi="Arial"/>
          <w:sz w:val="24"/>
          <w:szCs w:val="24"/>
        </w:rPr>
        <w:t xml:space="preserve">Alcuni farmaci hanno un'elevata reattività nei confronti dei raggi solari e le reazioni possono essere essenzialmente di 2 tipi: Fototossiche - Fotoallergiche.</w:t>
      </w:r>
    </w:p>
    <w:p>
      <w:pPr>
        <w:spacing w:after="200"/>
      </w:pPr>
      <w:r>
        <w:rPr>
          <w:rFonts w:ascii="Arial" w:cs="Arial" w:eastAsia="Arial" w:hAnsi="Arial"/>
          <w:sz w:val="24"/>
          <w:szCs w:val="24"/>
        </w:rPr>
        <w:t xml:space="preserve">Entrambe sono dovute all'interazione dei raggi UVA con le molecole del farmaco.</w:t>
      </w:r>
    </w:p>
    <w:p>
      <w:pPr>
        <w:spacing w:after="400"/>
      </w:pPr>
      <w:r>
        <w:rPr>
          <w:rFonts w:ascii="Arial" w:cs="Arial" w:eastAsia="Arial" w:hAnsi="Arial"/>
          <w:sz w:val="24"/>
          <w:szCs w:val="24"/>
        </w:rPr>
        <w:t xml:space="preserve">Nel caso delle reazioni fototossiche, i raggi UVA in contatto con il farmaco, generano molecole dannose per i tessuti. Nel secondo caso invece, il sole altera il farmaco generando una vera e propria reazione allergica.</w:t>
      </w:r>
    </w:p>
    <w:p>
      <w:pPr>
        <w:pStyle w:val="Heading2"/>
      </w:pPr>
      <w:r>
        <w:rPr>
          <w:rFonts w:ascii="Arial" w:cs="Arial" w:eastAsia="Arial" w:hAnsi="Arial"/>
          <w:b/>
          <w:bCs/>
          <w:color w:val="C00000"/>
          <w:sz w:val="32"/>
          <w:szCs w:val="32"/>
        </w:rPr>
        <w:t xml:space="preserve">IL DECALOGO PER UN CORRETTO USO DEI FARMACI</w:t>
      </w:r>
    </w:p>
    <w:p>
      <w:pPr>
        <w:pStyle w:val="ListParagraph"/>
        <w:numPr>
          <w:ilvl w:val="0"/>
          <w:numId w:val="2"/>
        </w:numPr>
        <w:spacing w:after="160"/>
      </w:pPr>
      <w:r>
        <w:rPr>
          <w:rFonts w:ascii="Arial" w:cs="Arial" w:eastAsia="Arial" w:hAnsi="Arial"/>
          <w:sz w:val="24"/>
          <w:szCs w:val="24"/>
        </w:rPr>
        <w:t xml:space="preserve">Nell'usare il farmaco rispetta la posologia dose, tempo e modalità di somministrazione indicata dal medico.</w:t>
      </w:r>
    </w:p>
    <w:p>
      <w:pPr>
        <w:pStyle w:val="ListParagraph"/>
        <w:numPr>
          <w:ilvl w:val="0"/>
          <w:numId w:val="2"/>
        </w:numPr>
        <w:spacing w:after="160"/>
      </w:pPr>
      <w:r>
        <w:rPr>
          <w:rFonts w:ascii="Arial" w:cs="Arial" w:eastAsia="Arial" w:hAnsi="Arial"/>
          <w:sz w:val="24"/>
          <w:szCs w:val="24"/>
        </w:rPr>
        <w:t xml:space="preserve">Non assumere più farmaci contemporaneamente senza il consiglio del medico o del farmacista.</w:t>
      </w:r>
    </w:p>
    <w:p>
      <w:pPr>
        <w:pStyle w:val="ListParagraph"/>
        <w:numPr>
          <w:ilvl w:val="0"/>
          <w:numId w:val="2"/>
        </w:numPr>
        <w:spacing w:after="160"/>
      </w:pPr>
      <w:r>
        <w:rPr>
          <w:rFonts w:ascii="Arial" w:cs="Arial" w:eastAsia="Arial" w:hAnsi="Arial"/>
          <w:sz w:val="24"/>
          <w:szCs w:val="24"/>
        </w:rPr>
        <w:t xml:space="preserve">Non interrompere arbitrariamente una terapia.</w:t>
      </w:r>
    </w:p>
    <w:p>
      <w:pPr>
        <w:pStyle w:val="ListParagraph"/>
        <w:numPr>
          <w:ilvl w:val="0"/>
          <w:numId w:val="2"/>
        </w:numPr>
        <w:spacing w:after="160"/>
      </w:pPr>
      <w:r>
        <w:rPr>
          <w:rFonts w:ascii="Arial" w:cs="Arial" w:eastAsia="Arial" w:hAnsi="Arial"/>
          <w:sz w:val="24"/>
          <w:szCs w:val="24"/>
        </w:rPr>
        <w:t xml:space="preserve">Controlla sempre la data di scadenza prima di utilizzare il farmaco.</w:t>
      </w:r>
    </w:p>
    <w:p>
      <w:pPr>
        <w:pStyle w:val="ListParagraph"/>
        <w:numPr>
          <w:ilvl w:val="0"/>
          <w:numId w:val="2"/>
        </w:numPr>
        <w:spacing w:after="160"/>
      </w:pPr>
      <w:r>
        <w:rPr>
          <w:rFonts w:ascii="Arial" w:cs="Arial" w:eastAsia="Arial" w:hAnsi="Arial"/>
          <w:sz w:val="24"/>
          <w:szCs w:val="24"/>
        </w:rPr>
        <w:t xml:space="preserve">Ricorda che alcuni farmaci (colliri, sciroppi, gocce, spray), una volta aperti scadono prima della data indicata sulla confezione.</w:t>
      </w:r>
    </w:p>
    <w:p>
      <w:pPr>
        <w:pStyle w:val="ListParagraph"/>
        <w:numPr>
          <w:ilvl w:val="0"/>
          <w:numId w:val="2"/>
        </w:numPr>
        <w:spacing w:after="160"/>
      </w:pPr>
      <w:r>
        <w:rPr>
          <w:rFonts w:ascii="Arial" w:cs="Arial" w:eastAsia="Arial" w:hAnsi="Arial"/>
          <w:sz w:val="24"/>
          <w:szCs w:val="24"/>
        </w:rPr>
        <w:t xml:space="preserve">Per dubbi chiedi consiglio al medico o al farmacista.</w:t>
      </w:r>
    </w:p>
    <w:p>
      <w:pPr>
        <w:pStyle w:val="ListParagraph"/>
        <w:numPr>
          <w:ilvl w:val="0"/>
          <w:numId w:val="2"/>
        </w:numPr>
        <w:spacing w:after="160"/>
      </w:pPr>
      <w:r>
        <w:rPr>
          <w:rFonts w:ascii="Arial" w:cs="Arial" w:eastAsia="Arial" w:hAnsi="Arial"/>
          <w:sz w:val="24"/>
          <w:szCs w:val="24"/>
        </w:rPr>
        <w:t xml:space="preserve">Conserva integra la confezione senza gettare l'astuccio e il foglietto illustrativo.</w:t>
      </w:r>
    </w:p>
    <w:p>
      <w:pPr>
        <w:pStyle w:val="ListParagraph"/>
        <w:numPr>
          <w:ilvl w:val="0"/>
          <w:numId w:val="2"/>
        </w:numPr>
        <w:spacing w:after="160"/>
      </w:pPr>
      <w:r>
        <w:rPr>
          <w:rFonts w:ascii="Arial" w:cs="Arial" w:eastAsia="Arial" w:hAnsi="Arial"/>
          <w:sz w:val="24"/>
          <w:szCs w:val="24"/>
        </w:rPr>
        <w:t xml:space="preserve">Riponi i farmaci in luogo fresco e asciutto; non in bagno, non in cucina, ma in luogo espressamente specificato.</w:t>
      </w:r>
    </w:p>
    <w:p>
      <w:pPr>
        <w:pStyle w:val="ListParagraph"/>
        <w:numPr>
          <w:ilvl w:val="0"/>
          <w:numId w:val="2"/>
        </w:numPr>
        <w:spacing w:after="160"/>
      </w:pPr>
      <w:r>
        <w:rPr>
          <w:rFonts w:ascii="Arial" w:cs="Arial" w:eastAsia="Arial" w:hAnsi="Arial"/>
          <w:sz w:val="24"/>
          <w:szCs w:val="24"/>
        </w:rPr>
        <w:t xml:space="preserve">Tieni lontano i farmaci dalla portata dei bambini.</w:t>
      </w:r>
    </w:p>
    <w:p>
      <w:pPr>
        <w:pStyle w:val="ListParagraph"/>
        <w:numPr>
          <w:ilvl w:val="0"/>
          <w:numId w:val="2"/>
        </w:numPr>
        <w:spacing w:after="160"/>
      </w:pPr>
      <w:r>
        <w:rPr>
          <w:rFonts w:ascii="Arial" w:cs="Arial" w:eastAsia="Arial" w:hAnsi="Arial"/>
          <w:sz w:val="24"/>
          <w:szCs w:val="24"/>
        </w:rPr>
        <w:t xml:space="preserve">Non gettare i farmaci nella spazzatura, ma negli appositi contenitori per i rifiuti differenziati collocati all'interno o in prossimità delle farmacie.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C00000"/>
      <w:sz w:val="40"/>
      <w:szCs w:val="40"/>
    </w:rPr>
  </w:style>
  <w:style w:type="paragraph" w:styleId="Heading2">
    <w:name w:val="Heading 2"/>
    <w:basedOn w:val="Normal"/>
    <w:next w:val="Normal"/>
    <w:qFormat/>
    <w:pPr>
      <w:spacing w:after="180" w:before="300"/>
      <w:outlineLvl w:val="1"/>
    </w:pPr>
    <w:rPr>
      <w:rFonts w:ascii="Arial" w:cs="Arial" w:eastAsia="Arial" w:hAnsi="Arial"/>
      <w:b/>
      <w:bCs/>
      <w:color w:val="2E7D3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2026-04-15T20:55:41.956Z</dcterms:created>
  <dcterms:modified xsi:type="dcterms:W3CDTF">2026-04-15T20:55:41.957Z</dcterms:modified>
</cp:coreProperties>
</file>

<file path=docProps/custom.xml><?xml version="1.0" encoding="utf-8"?>
<Properties xmlns="http://schemas.openxmlformats.org/officeDocument/2006/custom-properties" xmlns:vt="http://schemas.openxmlformats.org/officeDocument/2006/docPropsVTypes"/>
</file>