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fcdf2f6065196f5ea57de8cdd90a5577d2274c"/>
    <w:p>
      <w:pPr>
        <w:pStyle w:val="Heading1"/>
      </w:pPr>
      <w:r>
        <w:t xml:space="preserve">Manual de Usuario — Panel de Retención de Clientes (TelcoChurn)</w:t>
      </w:r>
    </w:p>
    <w:bookmarkStart w:id="9" w:name="acceso-al-tablero"/>
    <w:p>
      <w:pPr>
        <w:pStyle w:val="Heading2"/>
      </w:pPr>
      <w:r>
        <w:t xml:space="preserve">1. Acceso al tablero</w:t>
      </w:r>
    </w:p>
    <w:p>
      <w:pPr>
        <w:pStyle w:val="FirstParagraph"/>
      </w:pPr>
      <w:r>
        <w:t xml:space="preserve">Abra en su navegador la URL del tablero desplegado:</w:t>
      </w:r>
    </w:p>
    <w:p>
      <w:pPr>
        <w:pStyle w:val="SourceCode"/>
      </w:pPr>
      <w:r>
        <w:rPr>
          <w:rStyle w:val="VerbatimChar"/>
        </w:rPr>
        <w:t xml:space="preserve">http://&lt;IP_PUBLICA_EC2&gt;:8501</w:t>
      </w:r>
    </w:p>
    <w:p>
      <w:pPr>
        <w:pStyle w:val="FirstParagraph"/>
      </w:pPr>
      <w:r>
        <w:t xml:space="preserve">Ejemplo (instancia activa de la Entrega 3):</w:t>
      </w:r>
      <w:r>
        <w:t xml:space="preserve"> </w:t>
      </w:r>
      <w:r>
        <w:rPr>
          <w:rStyle w:val="VerbatimChar"/>
        </w:rPr>
        <w:t xml:space="preserve">http://3.90.218.62:8501</w:t>
      </w:r>
    </w:p>
    <w:p>
      <w:pPr>
        <w:pStyle w:val="BodyText"/>
      </w:pPr>
      <w:r>
        <w:t xml:space="preserve">El tablero requiere que la API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esté corriendo (se despliega junto con el tablero en el mismo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). Si al abrir el tablero aparece un mensaje de error indicando que no se pudo conectar con la API, verifique que el contenedor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esté activo (ver Manual de Instalación).</w:t>
      </w:r>
    </w:p>
    <w:bookmarkEnd w:id="9"/>
    <w:bookmarkStart w:id="10" w:name="estructura-general"/>
    <w:p>
      <w:pPr>
        <w:pStyle w:val="Heading2"/>
      </w:pPr>
      <w:r>
        <w:t xml:space="preserve">2. Estructura general</w:t>
      </w:r>
    </w:p>
    <w:p>
      <w:pPr>
        <w:pStyle w:val="FirstParagraph"/>
      </w:pPr>
      <w:r>
        <w:t xml:space="preserve">El tablero está organizado en 3 pestañas, ubicadas en la parte superior:</w:t>
      </w:r>
    </w:p>
    <w:p>
      <w:pPr>
        <w:pStyle w:val="Compact"/>
        <w:numPr>
          <w:ilvl w:val="0"/>
          <w:numId w:val="1001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Simulador de Escenarios</w:t>
      </w:r>
    </w:p>
    <w:p>
      <w:pPr>
        <w:pStyle w:val="Compact"/>
        <w:numPr>
          <w:ilvl w:val="0"/>
          <w:numId w:val="1001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Matriz de Priorización</w:t>
      </w:r>
    </w:p>
    <w:p>
      <w:pPr>
        <w:pStyle w:val="Compact"/>
        <w:numPr>
          <w:ilvl w:val="0"/>
          <w:numId w:val="1001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Factores de Influencia</w:t>
      </w:r>
    </w:p>
    <w:p>
      <w:pPr>
        <w:pStyle w:val="FirstParagraph"/>
      </w:pPr>
      <w:r>
        <w:t xml:space="preserve">Todas las predicciones que se muestran en el tablero son calculadas en tiempo real por la API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(el tablero no tiene el modelo embebido, solo lo consulta).</w:t>
      </w:r>
    </w:p>
    <w:bookmarkEnd w:id="10"/>
    <w:bookmarkStart w:id="11" w:name="simulador-de-escenarios"/>
    <w:p>
      <w:pPr>
        <w:pStyle w:val="Heading2"/>
      </w:pPr>
      <w:r>
        <w:t xml:space="preserve">3. Simulador de Escenarios</w:t>
      </w:r>
    </w:p>
    <w:p>
      <w:pPr>
        <w:pStyle w:val="FirstParagraph"/>
      </w:pPr>
      <w:r>
        <w:t xml:space="preserve">Permite explorar cómo cambia la probabilidad de fuga (churn) de un cliente si se modifican ciertas variables de negocio.</w:t>
      </w:r>
    </w:p>
    <w:p>
      <w:pPr>
        <w:pStyle w:val="BodyText"/>
      </w:pPr>
      <w:r>
        <w:rPr>
          <w:b/>
          <w:bCs/>
        </w:rPr>
        <w:t xml:space="preserve">Pasos de uso:</w:t>
      </w:r>
    </w:p>
    <w:p>
      <w:pPr>
        <w:pStyle w:val="Compact"/>
        <w:numPr>
          <w:ilvl w:val="0"/>
          <w:numId w:val="1002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“Cliente base (customerID)”</w:t>
      </w:r>
      <w:r>
        <w:t xml:space="preserve">, seleccione un cliente existente de la base de datos. Se cargará su perfil original.</w:t>
      </w:r>
    </w:p>
    <w:p>
      <w:pPr>
        <w:pStyle w:val="Compact"/>
        <w:numPr>
          <w:ilvl w:val="0"/>
          <w:numId w:val="1002"/>
        </w:numPr>
      </w:pPr>
      <w:r>
        <w:t xml:space="preserve">Ajuste las variables disponibles: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Tipo de Contrato</w:t>
      </w:r>
      <w:r>
        <w:t xml:space="preserve">: Month-to-month, One year, Two year.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Soporte Técnico</w:t>
      </w:r>
      <w:r>
        <w:t xml:space="preserve">: Yes, No, No internet service.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Servicio de Internet</w:t>
      </w:r>
      <w:r>
        <w:t xml:space="preserve">: DSL, Fiber optic, No.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Método de Pago</w:t>
      </w:r>
      <w:r>
        <w:t xml:space="preserve">: Electronic check, Mailed check, Bank transfer, Credit card.</w:t>
      </w:r>
    </w:p>
    <w:p>
      <w:pPr>
        <w:pStyle w:val="Compact"/>
        <w:numPr>
          <w:ilvl w:val="0"/>
          <w:numId w:val="1002"/>
        </w:numPr>
      </w:pPr>
      <w:r>
        <w:t xml:space="preserve">El panel derecho muestra de inmediato:</w:t>
      </w:r>
    </w:p>
    <w:p>
      <w:pPr>
        <w:pStyle w:val="Compact"/>
        <w:numPr>
          <w:ilvl w:val="1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probabilidad de fuga</w:t>
      </w:r>
      <w:r>
        <w:t xml:space="preserve"> </w:t>
      </w:r>
      <w:r>
        <w:t xml:space="preserve">del escenario simulado (0-100%), con una etiqueta de riesgo (ALTO RIESGO si ≥ 50%, BAJO RIESGO si menor).</w:t>
      </w:r>
    </w:p>
    <w:p>
      <w:pPr>
        <w:pStyle w:val="Compact"/>
        <w:numPr>
          <w:ilvl w:val="1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cambio (delta)</w:t>
      </w:r>
      <w:r>
        <w:t xml:space="preserve"> </w:t>
      </w:r>
      <w:r>
        <w:t xml:space="preserve">respecto a la probabilidad del perfil original del cliente.</w:t>
      </w:r>
    </w:p>
    <w:p>
      <w:pPr>
        <w:pStyle w:val="Compact"/>
        <w:numPr>
          <w:ilvl w:val="1"/>
          <w:numId w:val="1004"/>
        </w:numPr>
      </w:pPr>
      <w:r>
        <w:t xml:space="preserve">Una tabla con el</w:t>
      </w:r>
      <w:r>
        <w:t xml:space="preserve"> </w:t>
      </w:r>
      <w:r>
        <w:rPr>
          <w:b/>
          <w:bCs/>
        </w:rPr>
        <w:t xml:space="preserve">perfil simulado</w:t>
      </w:r>
      <w:r>
        <w:t xml:space="preserve"> </w:t>
      </w:r>
      <w:r>
        <w:t xml:space="preserve">completo.</w:t>
      </w:r>
    </w:p>
    <w:p>
      <w:pPr>
        <w:pStyle w:val="FirstParagraph"/>
      </w:pPr>
      <w:r>
        <w:rPr>
          <w:b/>
          <w:bCs/>
        </w:rPr>
        <w:t xml:space="preserve">Uso recomendado:</w:t>
      </w:r>
      <w:r>
        <w:t xml:space="preserve"> </w:t>
      </w:r>
      <w:r>
        <w:t xml:space="preserve">un Account Manager puede usar esta vista para evaluar, antes de contactar a un cliente, qué acción de retención (p. ej. ofrecer un contrato anual, o soporte técnico) tendría mayor impacto en reducir su riesgo de fuga.</w:t>
      </w:r>
    </w:p>
    <w:bookmarkEnd w:id="11"/>
    <w:bookmarkStart w:id="12" w:name="matriz-de-priorización"/>
    <w:p>
      <w:pPr>
        <w:pStyle w:val="Heading2"/>
      </w:pPr>
      <w:r>
        <w:t xml:space="preserve">4. Matriz de Priorización</w:t>
      </w:r>
    </w:p>
    <w:p>
      <w:pPr>
        <w:pStyle w:val="FirstParagraph"/>
      </w:pPr>
      <w:r>
        <w:t xml:space="preserve">Cruza la</w:t>
      </w:r>
      <w:r>
        <w:t xml:space="preserve"> </w:t>
      </w:r>
      <w:r>
        <w:rPr>
          <w:b/>
          <w:bCs/>
        </w:rPr>
        <w:t xml:space="preserve">probabilidad de fuga</w:t>
      </w:r>
      <w:r>
        <w:t xml:space="preserve"> </w:t>
      </w:r>
      <w:r>
        <w:t xml:space="preserve">(eje X) contra la</w:t>
      </w:r>
      <w:r>
        <w:t xml:space="preserve"> </w:t>
      </w:r>
      <w:r>
        <w:rPr>
          <w:b/>
          <w:bCs/>
        </w:rPr>
        <w:t xml:space="preserve">facturación mensual</w:t>
      </w:r>
      <w:r>
        <w:t xml:space="preserve"> </w:t>
      </w:r>
      <w:r>
        <w:t xml:space="preserve">(eje Y, proxy del valor del cliente) para identificar qué cuentas priorizar.</w:t>
      </w:r>
    </w:p>
    <w:p>
      <w:pPr>
        <w:pStyle w:val="BodyText"/>
      </w:pPr>
      <w:r>
        <w:rPr>
          <w:b/>
          <w:bCs/>
        </w:rPr>
        <w:t xml:space="preserve">Controles: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Umbral de Alto Riesgo</w:t>
      </w:r>
      <w:r>
        <w:t xml:space="preserve">: define a partir de qué probabilidad se considera un cliente de</w:t>
      </w:r>
      <w:r>
        <w:t xml:space="preserve"> </w:t>
      </w:r>
      <w:r>
        <w:t xml:space="preserve">“alto riesgo”</w:t>
      </w:r>
      <w:r>
        <w:t xml:space="preserve"> </w:t>
      </w:r>
      <w:r>
        <w:t xml:space="preserve">(por defecto 50%).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Umbral de Alto Valor</w:t>
      </w:r>
      <w:r>
        <w:t xml:space="preserve">: define a partir de qué facturación mensual se considera un cliente de</w:t>
      </w:r>
      <w:r>
        <w:t xml:space="preserve"> </w:t>
      </w:r>
      <w:r>
        <w:t xml:space="preserve">“alto valor”</w:t>
      </w:r>
      <w:r>
        <w:t xml:space="preserve"> </w:t>
      </w:r>
      <w:r>
        <w:t xml:space="preserve">(por defecto la mediana).</w:t>
      </w:r>
    </w:p>
    <w:p>
      <w:pPr>
        <w:pStyle w:val="FirstParagraph"/>
      </w:pPr>
      <w:r>
        <w:rPr>
          <w:b/>
          <w:bCs/>
        </w:rPr>
        <w:t xml:space="preserve">Interpretación del gráfico:</w:t>
      </w:r>
    </w:p>
    <w:p>
      <w:pPr>
        <w:pStyle w:val="Compact"/>
        <w:numPr>
          <w:ilvl w:val="0"/>
          <w:numId w:val="1006"/>
        </w:numPr>
      </w:pPr>
      <w:r>
        <w:t xml:space="preserve">Cada punto es un cliente. El color indica el cuadrante:</w:t>
      </w:r>
    </w:p>
    <w:p>
      <w:pPr>
        <w:pStyle w:val="Compact"/>
        <w:numPr>
          <w:ilvl w:val="1"/>
          <w:numId w:val="100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Zona Crítica</w:t>
      </w:r>
      <w:r>
        <w:t xml:space="preserve"> </w:t>
      </w:r>
      <w:r>
        <w:t xml:space="preserve">(alto riesgo + alto valor): prioridad máxima de retención.</w:t>
      </w:r>
    </w:p>
    <w:p>
      <w:pPr>
        <w:pStyle w:val="Compact"/>
        <w:numPr>
          <w:ilvl w:val="1"/>
          <w:numId w:val="1007"/>
        </w:numPr>
      </w:pPr>
      <w:r>
        <w:t xml:space="preserve">Alto riesgo, bajo valor.</w:t>
      </w:r>
    </w:p>
    <w:p>
      <w:pPr>
        <w:pStyle w:val="Compact"/>
        <w:numPr>
          <w:ilvl w:val="1"/>
          <w:numId w:val="1007"/>
        </w:numPr>
      </w:pPr>
      <w:r>
        <w:t xml:space="preserve">Bajo riesgo, alto valor.</w:t>
      </w:r>
    </w:p>
    <w:p>
      <w:pPr>
        <w:pStyle w:val="Compact"/>
        <w:numPr>
          <w:ilvl w:val="1"/>
          <w:numId w:val="1007"/>
        </w:numPr>
      </w:pPr>
      <w:r>
        <w:t xml:space="preserve">Bajo riesgo, bajo valor.</w:t>
      </w:r>
    </w:p>
    <w:p>
      <w:pPr>
        <w:pStyle w:val="Compact"/>
        <w:numPr>
          <w:ilvl w:val="0"/>
          <w:numId w:val="1006"/>
        </w:numPr>
      </w:pPr>
      <w:r>
        <w:t xml:space="preserve">Debajo del gráfico se muestra el conteo de clientes en Zona Crítica sobre la muestra visualizada.</w:t>
      </w:r>
    </w:p>
    <w:p>
      <w:pPr>
        <w:pStyle w:val="Compact"/>
        <w:numPr>
          <w:ilvl w:val="0"/>
          <w:numId w:val="1006"/>
        </w:numPr>
      </w:pPr>
      <w:r>
        <w:t xml:space="preserve">Puede pasar el cursor sobre cualquier punto para ver el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 tipo de contrato y antigüedad (tenure) de ese cliente.</w:t>
      </w:r>
    </w:p>
    <w:p>
      <w:pPr>
        <w:pStyle w:val="FirstParagraph"/>
      </w:pPr>
      <w:r>
        <w:rPr>
          <w:b/>
          <w:bCs/>
        </w:rPr>
        <w:t xml:space="preserve">Uso recomendado:</w:t>
      </w:r>
      <w:r>
        <w:t xml:space="preserve"> </w:t>
      </w:r>
      <w:r>
        <w:t xml:space="preserve">el equipo de gestión de cuentas revisa primero los clientes en Zona Crítica antes de continuar con el resto.</w:t>
      </w:r>
    </w:p>
    <w:bookmarkEnd w:id="12"/>
    <w:bookmarkStart w:id="13" w:name="factores-de-influencia"/>
    <w:p>
      <w:pPr>
        <w:pStyle w:val="Heading2"/>
      </w:pPr>
      <w:r>
        <w:t xml:space="preserve">5. Factores de Influencia</w:t>
      </w:r>
    </w:p>
    <w:p>
      <w:pPr>
        <w:pStyle w:val="FirstParagraph"/>
      </w:pPr>
      <w:r>
        <w:t xml:space="preserve">Muestra qué variables de negocio tienen mayor peso en las predicciones del modelo (importancia nativa del Random Forest, agregada por variable original).</w:t>
      </w:r>
    </w:p>
    <w:p>
      <w:pPr>
        <w:pStyle w:val="BodyText"/>
      </w:pPr>
      <w:r>
        <w:rPr>
          <w:b/>
          <w:bCs/>
        </w:rPr>
        <w:t xml:space="preserve">Controles: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Número de variables a mostrar</w:t>
      </w:r>
      <w:r>
        <w:t xml:space="preserve">: ajusta cuántas barras se listan (entre 5 y 15).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las variables con barras más largas son las que más influyen en que el modelo prediga fuga. Esto ayuda al equipo comercial a entender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un cliente está en riesgo, no solo</w:t>
      </w:r>
      <w:r>
        <w:t xml:space="preserve"> </w:t>
      </w:r>
      <w:r>
        <w:rPr>
          <w:i/>
          <w:iCs/>
        </w:rPr>
        <w:t xml:space="preserve">que</w:t>
      </w:r>
      <w:r>
        <w:t xml:space="preserve"> </w:t>
      </w:r>
      <w:r>
        <w:t xml:space="preserve">lo está.</w:t>
      </w:r>
    </w:p>
    <w:bookmarkEnd w:id="13"/>
    <w:bookmarkStart w:id="14" w:name="preguntas-frecuentes"/>
    <w:p>
      <w:pPr>
        <w:pStyle w:val="Heading2"/>
      </w:pPr>
      <w:r>
        <w:t xml:space="preserve">6. Preguntas frecuentes</w:t>
      </w:r>
    </w:p>
    <w:p>
      <w:pPr>
        <w:pStyle w:val="FirstParagraph"/>
      </w:pPr>
      <w:r>
        <w:rPr>
          <w:b/>
          <w:bCs/>
        </w:rPr>
        <w:t xml:space="preserve">¿Por qué el tablero muestra un error de conexión?</w:t>
      </w:r>
      <w:r>
        <w:t xml:space="preserve"> </w:t>
      </w:r>
      <w:r>
        <w:t xml:space="preserve">La API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no está corriendo o no es alcanzable desde el tablero. Ver el Manual de Instalación para verificar el estado de los contenedores.</w:t>
      </w:r>
    </w:p>
    <w:p>
      <w:pPr>
        <w:pStyle w:val="BodyText"/>
      </w:pPr>
      <w:r>
        <w:rPr>
          <w:b/>
          <w:bCs/>
        </w:rPr>
        <w:t xml:space="preserve">¿Los datos de los clientes se actualizan automáticamente?</w:t>
      </w:r>
      <w:r>
        <w:t xml:space="preserve"> </w:t>
      </w:r>
      <w:r>
        <w:t xml:space="preserve">No. El tablero usa el archivo</w:t>
      </w:r>
      <w:r>
        <w:t xml:space="preserve"> </w:t>
      </w:r>
      <w:r>
        <w:rPr>
          <w:rStyle w:val="VerbatimChar"/>
        </w:rPr>
        <w:t xml:space="preserve">telco_churn_clean.csv</w:t>
      </w:r>
      <w:r>
        <w:t xml:space="preserve"> </w:t>
      </w:r>
      <w:r>
        <w:t xml:space="preserve">generado en el último entrenamiento (</w:t>
      </w:r>
      <w:r>
        <w:rPr>
          <w:rStyle w:val="VerbatimChar"/>
        </w:rPr>
        <w:t xml:space="preserve">train_final_model.py</w:t>
      </w:r>
      <w:r>
        <w:t xml:space="preserve">). Para reflejar clientes nuevos, es necesario regenerar ese archivo y reconstruir la imagen del tablero.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2026-07-20T20:00:00Z</dcterms:created>
  <dcterms:modified xsi:type="dcterms:W3CDTF">2026-07-20T20:00:00Z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