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3621c9531c34ffceee0440a6d94002415c1e2e3"/>
    <w:p>
      <w:pPr>
        <w:pStyle w:val="Heading1"/>
      </w:pPr>
      <w:r>
        <w:t xml:space="preserve">Guion detallado — Presentación Final TelcoChurn</w:t>
      </w:r>
    </w:p>
    <w:p>
      <w:pPr>
        <w:pStyle w:val="FirstParagraph"/>
      </w:pPr>
      <w:r>
        <w:t xml:space="preserve">Para estudiar antes de la exposición (máx. 10 minutos, jueves 23 de julio). Cada bloque trae: tiempo sugerido, qué decir (guion natural, no leer literal — apropiárselo), y</w:t>
      </w:r>
      <w:r>
        <w:t xml:space="preserve"> </w:t>
      </w:r>
      <w:r>
        <w:t xml:space="preserve">“para profundizar”</w:t>
      </w:r>
      <w:r>
        <w:t xml:space="preserve"> </w:t>
      </w:r>
      <w:r>
        <w:t xml:space="preserve">con datos que</w:t>
      </w:r>
      <w:r>
        <w:t xml:space="preserve"> </w:t>
      </w:r>
      <w:r>
        <w:rPr>
          <w:b/>
          <w:bCs/>
        </w:rPr>
        <w:t xml:space="preserve">no están en el slide</w:t>
      </w:r>
      <w:r>
        <w:t xml:space="preserve"> </w:t>
      </w:r>
      <w:r>
        <w:t xml:space="preserve">pero que demuestran dominio si el profesor pregunta o si hay tiempo de sobra.</w:t>
      </w:r>
    </w:p>
    <w:p>
      <w:pPr>
        <w:pStyle w:val="BodyText"/>
      </w:pPr>
      <w:r>
        <w:rPr>
          <w:b/>
          <w:bCs/>
        </w:rPr>
        <w:t xml:space="preserve">Tiempo total objetivo: 9-10 min.</w:t>
      </w:r>
      <w:r>
        <w:t xml:space="preserve"> </w:t>
      </w:r>
      <w:r>
        <w:t xml:space="preserve">Practiquen con cronómetro al menos una vez completos.</w:t>
      </w:r>
    </w:p>
    <w:p>
      <w:r>
        <w:pict>
          <v:rect style="width:0;height:1.5pt" o:hralign="center" o:hrstd="t" o:hr="t"/>
        </w:pict>
      </w:r>
    </w:p>
    <w:bookmarkStart w:id="9" w:name="slide-1-portada-20-seg"/>
    <w:p>
      <w:pPr>
        <w:pStyle w:val="Heading2"/>
      </w:pPr>
      <w:r>
        <w:t xml:space="preserve">Slide 1 — Portada (20 seg)</w:t>
      </w:r>
    </w:p>
    <w:p>
      <w:pPr>
        <w:pStyle w:val="FirstParagraph"/>
      </w:pPr>
      <w:r>
        <w:rPr>
          <w:b/>
          <w:bCs/>
        </w:rPr>
        <w:t xml:space="preserve">Decir:</w:t>
      </w:r>
      <w:r>
        <w:t xml:space="preserve"> </w:t>
      </w:r>
      <w:r>
        <w:t xml:space="preserve">“Buenas tardes, somos Ferney Duarte y Andrés Rueda, y les vamos a presentar TelcoChurn: un sistema de predicción de fuga de clientes que construimos y desplegamos como un producto completo — modelo, API y tablero — corriendo en la nube.”</w:t>
      </w:r>
    </w:p>
    <w:p>
      <w:pPr>
        <w:pStyle w:val="BodyText"/>
      </w:pPr>
      <w:r>
        <w:rPr>
          <w:b/>
          <w:bCs/>
        </w:rPr>
        <w:t xml:space="preserve">Para profundizar (si preguntan por qué el nombre / el dataset):</w:t>
      </w:r>
      <w:r>
        <w:t xml:space="preserve"> </w:t>
      </w:r>
      <w:r>
        <w:t xml:space="preserve">El dataset es</w:t>
      </w:r>
      <w:r>
        <w:t xml:space="preserve"> </w:t>
      </w:r>
      <w:r>
        <w:t xml:space="preserve">“Telco Customer Churn”</w:t>
      </w:r>
      <w:r>
        <w:t xml:space="preserve"> </w:t>
      </w:r>
      <w:r>
        <w:t xml:space="preserve">de Kaggle, ampliamente usado como benchmark académico para problemas de churn en telecomunicaciones — lo elegimos porque tiene una mezcla realista de variables demográficas, de servicios y de facturación, y un desbalance de clases moderado (no extremo), que permite comparar estrategias de rebalanceo sin resultados triviales.</w:t>
      </w:r>
    </w:p>
    <w:p>
      <w:r>
        <w:pict>
          <v:rect style="width:0;height:1.5pt" o:hralign="center" o:hrstd="t" o:hr="t"/>
        </w:pict>
      </w:r>
    </w:p>
    <w:bookmarkEnd w:id="9"/>
    <w:bookmarkStart w:id="10" w:name="slide-2-agenda-15-seg"/>
    <w:p>
      <w:pPr>
        <w:pStyle w:val="Heading2"/>
      </w:pPr>
      <w:r>
        <w:t xml:space="preserve">Slide 2 — Agenda (15 seg)</w:t>
      </w:r>
    </w:p>
    <w:p>
      <w:pPr>
        <w:pStyle w:val="FirstParagraph"/>
      </w:pPr>
      <w:r>
        <w:rPr>
          <w:b/>
          <w:bCs/>
        </w:rPr>
        <w:t xml:space="preserve">Decir:</w:t>
      </w:r>
      <w:r>
        <w:t xml:space="preserve"> </w:t>
      </w:r>
      <w:r>
        <w:t xml:space="preserve">“Vamos a cubrir seis puntos: el problema de negocio, los modelos que construimos, la solución de tablero más API, cómo la desplegamos, una demo en vivo, y cerramos con resultados y conclusiones.”</w:t>
      </w:r>
    </w:p>
    <w:p>
      <w:pPr>
        <w:pStyle w:val="BodyText"/>
      </w:pPr>
      <w:r>
        <w:rPr>
          <w:b/>
          <w:bCs/>
        </w:rPr>
        <w:t xml:space="preserve">Para profundizar:</w:t>
      </w:r>
      <w:r>
        <w:t xml:space="preserve"> </w:t>
      </w:r>
      <w:r>
        <w:t xml:space="preserve">No es necesario detenerse aquí — es solo un mapa. Pasen rápido.</w:t>
      </w:r>
    </w:p>
    <w:p>
      <w:r>
        <w:pict>
          <v:rect style="width:0;height:1.5pt" o:hralign="center" o:hrstd="t" o:hr="t"/>
        </w:pict>
      </w:r>
    </w:p>
    <w:bookmarkEnd w:id="10"/>
    <w:bookmarkStart w:id="11" w:name="slide-3-el-problema-60-seg"/>
    <w:p>
      <w:pPr>
        <w:pStyle w:val="Heading2"/>
      </w:pPr>
      <w:r>
        <w:t xml:space="preserve">Slide 3 — El problema (60 seg)</w:t>
      </w:r>
    </w:p>
    <w:p>
      <w:pPr>
        <w:pStyle w:val="FirstParagraph"/>
      </w:pPr>
      <w:r>
        <w:rPr>
          <w:b/>
          <w:bCs/>
        </w:rPr>
        <w:t xml:space="preserve">Decir:</w:t>
      </w:r>
      <w:r>
        <w:t xml:space="preserve"> </w:t>
      </w:r>
      <w:r>
        <w:t xml:space="preserve">“El problema de negocio parte de una asimetría bien conocida: retener un cliente cuesta mucho menos que adquirir uno nuevo. Pero hoy los equipos de gestión de cuentas actúan de forma reactiva — se enteran de que un cliente está insatisfecho cuando ya canceló. Nuestra pregunta de negocio es: ¿qué clientes tienen mayor probabilidad de cancelar en el corto plazo, y qué factores explican esa decisión, para poder priorizar el esfuerzo comercial? Trabajamos con 7,043 clientes y 20 variables predictoras — demografía, servicios contratados, y datos de cuenta y pagos.”</w:t>
      </w:r>
    </w:p>
    <w:p>
      <w:pPr>
        <w:pStyle w:val="BodyText"/>
      </w:pPr>
      <w:r>
        <w:rPr>
          <w:b/>
          <w:bCs/>
        </w:rPr>
        <w:t xml:space="preserve">Para profundizar:</w:t>
      </w:r>
      <w:r>
        <w:t xml:space="preserve"> </w:t>
      </w:r>
      <w:r>
        <w:t xml:space="preserve">- La tasa de churn histórica en el dataset es ~26.5% — un desbalance real pero manejable (no es un caso de 1% de fraude, por ejemplo).</w:t>
      </w:r>
      <w:r>
        <w:t xml:space="preserve"> </w:t>
      </w:r>
      <w:r>
        <w:t xml:space="preserve">- Las 20 variables se agrupan en 4 bloques: identificación (</w:t>
      </w:r>
      <w:r>
        <w:rPr>
          <w:rStyle w:val="VerbatimChar"/>
        </w:rPr>
        <w:t xml:space="preserve">customerID</w:t>
      </w:r>
      <w:r>
        <w:t xml:space="preserve">, descartado), demografía (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SeniorCitizen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Dependents</w:t>
      </w:r>
      <w:r>
        <w:t xml:space="preserve">), servicios contratados (teléfono, internet, seguridad online, soporte técnico, streaming) y cuenta/pagos (</w:t>
      </w:r>
      <w:r>
        <w:rPr>
          <w:rStyle w:val="VerbatimChar"/>
        </w:rPr>
        <w:t xml:space="preserve">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PaperlessBilling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tenure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MonthlyCharges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TotalCharges</w:t>
      </w:r>
      <w:r>
        <w:t xml:space="preserve">).</w:t>
      </w:r>
      <w:r>
        <w:t xml:space="preserve"> </w:t>
      </w:r>
      <w:r>
        <w:t xml:space="preserve">- No hubo cambios de alcance respecto a la Entrega 2 — el foco de esta entrega fue el despliegue en producción (API + Docker), no el modelado.</w:t>
      </w:r>
    </w:p>
    <w:p>
      <w:r>
        <w:pict>
          <v:rect style="width:0;height:1.5pt" o:hralign="center" o:hrstd="t" o:hr="t"/>
        </w:pict>
      </w:r>
    </w:p>
    <w:bookmarkEnd w:id="11"/>
    <w:bookmarkStart w:id="12" w:name="slide-4-modelos-construidos-60-70-seg"/>
    <w:p>
      <w:pPr>
        <w:pStyle w:val="Heading2"/>
      </w:pPr>
      <w:r>
        <w:t xml:space="preserve">Slide 4 — Modelos construidos (60-70 seg)</w:t>
      </w:r>
    </w:p>
    <w:p>
      <w:pPr>
        <w:pStyle w:val="FirstParagraph"/>
      </w:pPr>
      <w:r>
        <w:rPr>
          <w:b/>
          <w:bCs/>
        </w:rPr>
        <w:t xml:space="preserve">Decir:</w:t>
      </w:r>
      <w:r>
        <w:t xml:space="preserve"> </w:t>
      </w:r>
      <w:r>
        <w:t xml:space="preserve">“Construimos y comparamos 9 experimentos distintos, en 3 familias de modelos: Regresión Logística como línea base interpretable, Random Forest, y Gradient Boosting. Todo esto lo registramos en MLflow, corriendo en un servidor propio en AWS EC2 — cada corrida quedó con sus hiperparámetros, sus métricas y el modelo serializado como artefacto. En el gráfico ven el F1-score de las 9 corridas: el mejor resultado lo dio un Random Forest con 400 árboles y profundidad máxima 10.”</w:t>
      </w:r>
    </w:p>
    <w:p>
      <w:pPr>
        <w:pStyle w:val="BodyText"/>
      </w:pPr>
      <w:r>
        <w:rPr>
          <w:b/>
          <w:bCs/>
        </w:rPr>
        <w:t xml:space="preserve">Para profundizar:</w:t>
      </w:r>
      <w:r>
        <w:t xml:space="preserve"> </w:t>
      </w:r>
      <w:r>
        <w:t xml:space="preserve">- Preprocesamiento: pipeline de scikit-learn con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— las 3 variables numéricas (</w:t>
      </w:r>
      <w:r>
        <w:rPr>
          <w:rStyle w:val="VerbatimChar"/>
        </w:rPr>
        <w:t xml:space="preserve">tenure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MonthlyCharges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TotalCharges</w:t>
      </w:r>
      <w:r>
        <w:t xml:space="preserve">) se imputan por mediana y se escalan con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; las 16 categóricas se imputan por moda y se codifican con</w:t>
      </w:r>
      <w:r>
        <w:t xml:space="preserve"> </w:t>
      </w:r>
      <w:r>
        <w:rPr>
          <w:rStyle w:val="VerbatimChar"/>
        </w:rPr>
        <w:t xml:space="preserve">OneHotEncoder</w:t>
      </w:r>
      <w:r>
        <w:t xml:space="preserve">. Split 80/20 estratificado,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 </w:t>
      </w:r>
      <w:r>
        <w:t xml:space="preserve">para reproducibilidad.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TotalCharges</w:t>
      </w:r>
      <w:r>
        <w:t xml:space="preserve"> </w:t>
      </w:r>
      <w:r>
        <w:t xml:space="preserve">venía como texto en el CSV original (11 registros vacíos, correspondientes a clientes con</w:t>
      </w:r>
      <w:r>
        <w:t xml:space="preserve"> </w:t>
      </w:r>
      <w:r>
        <w:rPr>
          <w:rStyle w:val="VerbatimChar"/>
        </w:rPr>
        <w:t xml:space="preserve">tenure=0</w:t>
      </w:r>
      <w:r>
        <w:t xml:space="preserve">, es decir, recién llegados sin facturación acumulada) — se convirtió a numérico y se imputó como 0.</w:t>
      </w:r>
      <w:r>
        <w:t xml:space="preserve"> </w:t>
      </w:r>
      <w:r>
        <w:t xml:space="preserve">- Regresión Logística usó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 </w:t>
      </w:r>
      <w:r>
        <w:t xml:space="preserve">con 4 valores de C (0.01, 0.1, 1, 10) para explorar regularización.</w:t>
      </w:r>
      <w:r>
        <w:t xml:space="preserve"> </w:t>
      </w:r>
      <w:r>
        <w:t xml:space="preserve">- Random Forest probó 3 combinaciones de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/</w:t>
      </w:r>
      <w:r>
        <w:rPr>
          <w:rStyle w:val="VerbatimChar"/>
        </w:rPr>
        <w:t xml:space="preserve">max_depth</w:t>
      </w:r>
      <w:r>
        <w:t xml:space="preserve">, también con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.</w:t>
      </w:r>
      <w:r>
        <w:t xml:space="preserve"> </w:t>
      </w:r>
      <w:r>
        <w:t xml:space="preserve">- Gradient Boosting probó 2 combinaciones de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/</w:t>
      </w:r>
      <w:r>
        <w:rPr>
          <w:rStyle w:val="VerbatimChar"/>
        </w:rPr>
        <w:t xml:space="preserve">learning_rate</w:t>
      </w:r>
      <w:r>
        <w:t xml:space="preserve">/</w:t>
      </w:r>
      <w:r>
        <w:rPr>
          <w:rStyle w:val="VerbatimChar"/>
        </w:rPr>
        <w:t xml:space="preserve">max_depth</w:t>
      </w:r>
      <w:r>
        <w:t xml:space="preserve">.</w:t>
      </w:r>
      <w:r>
        <w:t xml:space="preserve"> </w:t>
      </w:r>
      <w:r>
        <w:t xml:space="preserve">- El servidor de MLflow corrió en una instancia EC2 (</w:t>
      </w:r>
      <w:r>
        <w:rPr>
          <w:rStyle w:val="VerbatimChar"/>
        </w:rPr>
        <w:t xml:space="preserve">mlflow-churn-server</w:t>
      </w:r>
      <w:r>
        <w:t xml:space="preserve">), con el proceso persistido vía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para sobrevivir a desconexiones SSH — eso fue trabajo específico de infraestructura, no solo lanzar el proceso a mano.</w:t>
      </w:r>
    </w:p>
    <w:p>
      <w:r>
        <w:pict>
          <v:rect style="width:0;height:1.5pt" o:hralign="center" o:hrstd="t" o:hr="t"/>
        </w:pict>
      </w:r>
    </w:p>
    <w:bookmarkEnd w:id="12"/>
    <w:bookmarkStart w:id="13" w:name="slide-5-modelo-seleccionado-50-60-seg"/>
    <w:p>
      <w:pPr>
        <w:pStyle w:val="Heading2"/>
      </w:pPr>
      <w:r>
        <w:t xml:space="preserve">Slide 5 — Modelo seleccionado (50-60 seg)</w:t>
      </w:r>
    </w:p>
    <w:p>
      <w:pPr>
        <w:pStyle w:val="FirstParagraph"/>
      </w:pPr>
      <w:r>
        <w:rPr>
          <w:b/>
          <w:bCs/>
        </w:rPr>
        <w:t xml:space="preserve">Decir:</w:t>
      </w:r>
      <w:r>
        <w:t xml:space="preserve"> </w:t>
      </w:r>
      <w:r>
        <w:t xml:space="preserve">“El modelo ganador es un Random Forest — 400 árboles, profundidad máxima 10, con balanceo de clases. Tiene el mejor F1-score del conjunto, 0.622, con un recall de 0.72: es decir, detecta el 72% de los clientes que realmente se van a ir. Elegimos priorizar recall sobre precisión porque, en este caso de negocio, el costo de no detectar a un cliente que se va es mayor que el costo de una alerta de más — un Account Manager simplemente revisa una lista más larga, pero no perdemos clientes por no anticiparlos.”</w:t>
      </w:r>
    </w:p>
    <w:p>
      <w:pPr>
        <w:pStyle w:val="BodyText"/>
      </w:pPr>
      <w:r>
        <w:rPr>
          <w:b/>
          <w:bCs/>
        </w:rPr>
        <w:t xml:space="preserve">Para profundizar:</w:t>
      </w:r>
      <w:r>
        <w:t xml:space="preserve"> </w:t>
      </w:r>
      <w:r>
        <w:t xml:space="preserve">- Comparación explícita: Regresión Logística tiene el recall más alto de todos (~0.78-0.79) pero precisión muy baja (~0.50) — es un modelo</w:t>
      </w:r>
      <w:r>
        <w:t xml:space="preserve"> </w:t>
      </w:r>
      <w:r>
        <w:t xml:space="preserve">“sobre-alertador”</w:t>
      </w:r>
      <w:r>
        <w:t xml:space="preserve">. Gradient Boosting tiene la mejor accuracy (0.80) y mejor precisión (0.67) pero su recall cae a ~0.52 — deja pasar casi la mitad de los churners reales.</w:t>
      </w:r>
      <w:r>
        <w:t xml:space="preserve"> </w:t>
      </w:r>
      <w:r>
        <w:t xml:space="preserve">- Random Forest sin límite de profundidad (</w:t>
      </w:r>
      <w:r>
        <w:rPr>
          <w:rStyle w:val="VerbatimChar"/>
        </w:rPr>
        <w:t xml:space="preserve">max_depth=None</w:t>
      </w:r>
      <w:r>
        <w:t xml:space="preserve">) da más accuracy aparente (0.78) pero el recall se desploma a 0.47 — es un caso claro de sobreajuste, y es la evidencia que usamos para justificar limitar la profundidad a 10.</w:t>
      </w:r>
      <w:r>
        <w:t xml:space="preserve"> </w:t>
      </w:r>
      <w:r>
        <w:t xml:space="preserve">- ROC AUC del modelo elegido: 0.840 — competitivo con el mejor de todos los experimentos (Gradient Boosting, 0.844), pero con muchísimo mejor recall.</w:t>
      </w:r>
      <w:r>
        <w:t xml:space="preserve"> </w:t>
      </w:r>
      <w:r>
        <w:t xml:space="preserve">- El modelo final se reentrena sobre el 100% de los datos (no solo el split de entrenamiento) en</w:t>
      </w:r>
      <w:r>
        <w:t xml:space="preserve"> </w:t>
      </w:r>
      <w:r>
        <w:rPr>
          <w:rStyle w:val="VerbatimChar"/>
        </w:rPr>
        <w:t xml:space="preserve">train_final_model.py</w:t>
      </w:r>
      <w:r>
        <w:t xml:space="preserve">, y se serializa con</w:t>
      </w:r>
      <w:r>
        <w:t xml:space="preserve"> </w:t>
      </w:r>
      <w:r>
        <w:rPr>
          <w:rStyle w:val="VerbatimChar"/>
        </w:rPr>
        <w:t xml:space="preserve">joblib</w:t>
      </w:r>
      <w:r>
        <w:t xml:space="preserve"> </w:t>
      </w:r>
      <w:r>
        <w:t xml:space="preserve">— ese archivo (</w:t>
      </w:r>
      <w:r>
        <w:rPr>
          <w:rStyle w:val="VerbatimChar"/>
        </w:rPr>
        <w:t xml:space="preserve">modelo_churn_final.joblib</w:t>
      </w:r>
      <w:r>
        <w:t xml:space="preserve">, ~27 MB) es el que carga la API en producción.</w:t>
      </w:r>
    </w:p>
    <w:p>
      <w:r>
        <w:pict>
          <v:rect style="width:0;height:1.5pt" o:hralign="center" o:hrstd="t" o:hr="t"/>
        </w:pict>
      </w:r>
    </w:p>
    <w:bookmarkEnd w:id="13"/>
    <w:bookmarkStart w:id="14" w:name="slide-6-la-solución-tablero-api-50-seg"/>
    <w:p>
      <w:pPr>
        <w:pStyle w:val="Heading2"/>
      </w:pPr>
      <w:r>
        <w:t xml:space="preserve">Slide 6 — La solución: tablero + API (50 seg)</w:t>
      </w:r>
    </w:p>
    <w:p>
      <w:pPr>
        <w:pStyle w:val="FirstParagraph"/>
      </w:pPr>
      <w:r>
        <w:rPr>
          <w:b/>
          <w:bCs/>
        </w:rPr>
        <w:t xml:space="preserve">Decir:</w:t>
      </w:r>
      <w:r>
        <w:t xml:space="preserve"> </w:t>
      </w:r>
      <w:r>
        <w:t xml:space="preserve">“Con el modelo ya elegido, construimos un producto completo: una API que sirve las predicciones, y un tablero interactivo en Streamlit con 3 vistas. El Simulador de Escenarios permite ajustar variables de un cliente y ver en tiempo real cómo cambia su probabilidad de fuga. La Matriz de Priorización cruza riesgo contra valor del cliente para identificar la</w:t>
      </w:r>
      <w:r>
        <w:t xml:space="preserve"> </w:t>
      </w:r>
      <w:r>
        <w:t xml:space="preserve">‘Zona Crítica’</w:t>
      </w:r>
      <w:r>
        <w:t xml:space="preserve"> </w:t>
      </w:r>
      <w:r>
        <w:t xml:space="preserve">— a quién atender primero. Y Factores de Influencia da explicabilidad: qué variables pesan más en la predicción del modelo.”</w:t>
      </w:r>
    </w:p>
    <w:p>
      <w:pPr>
        <w:pStyle w:val="BodyText"/>
      </w:pPr>
      <w:r>
        <w:rPr>
          <w:b/>
          <w:bCs/>
        </w:rPr>
        <w:t xml:space="preserve">Para profundizar:</w:t>
      </w:r>
      <w:r>
        <w:t xml:space="preserve"> </w:t>
      </w:r>
      <w:r>
        <w:t xml:space="preserve">- La Matriz de Priorización usa</w:t>
      </w:r>
      <w:r>
        <w:t xml:space="preserve"> </w:t>
      </w:r>
      <w:r>
        <w:rPr>
          <w:rStyle w:val="VerbatimChar"/>
        </w:rPr>
        <w:t xml:space="preserve">MonthlyCharges</w:t>
      </w:r>
      <w:r>
        <w:t xml:space="preserve"> </w:t>
      </w:r>
      <w:r>
        <w:t xml:space="preserve">como proxy de valor del cliente (no hay un campo de</w:t>
      </w:r>
      <w:r>
        <w:t xml:space="preserve"> </w:t>
      </w:r>
      <w:r>
        <w:t xml:space="preserve">“valor de vida del cliente”</w:t>
      </w:r>
      <w:r>
        <w:t xml:space="preserve"> </w:t>
      </w:r>
      <w:r>
        <w:t xml:space="preserve">explícito en el dataset, así que se usó la facturación mensual como aproximación razonable y ajustable).</w:t>
      </w:r>
      <w:r>
        <w:t xml:space="preserve"> </w:t>
      </w:r>
      <w:r>
        <w:t xml:space="preserve">- Los Factores de Influencia se calculan con la importancia nativa (Gini importance) del Random Forest, agregada por variable de negocio original — no por cada categoría del one-hot encoding, para que sea legible para un usuario de negocio.</w:t>
      </w:r>
      <w:r>
        <w:t xml:space="preserve"> </w:t>
      </w:r>
      <w:r>
        <w:t xml:space="preserve">- Es consistente end-to-end: los mismos 3 factores más importantes (</w:t>
      </w:r>
      <w:r>
        <w:rPr>
          <w:rStyle w:val="VerbatimChar"/>
        </w:rPr>
        <w:t xml:space="preserve">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tenure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TotalCharges</w:t>
      </w:r>
      <w:r>
        <w:t xml:space="preserve">) aparecieron también en el EDA exploratorio de la Entrega 1 — eso valida que el modelo aprendió señal real de negocio, no ruido.</w:t>
      </w:r>
    </w:p>
    <w:p>
      <w:r>
        <w:pict>
          <v:rect style="width:0;height:1.5pt" o:hralign="center" o:hrstd="t" o:hr="t"/>
        </w:pict>
      </w:r>
    </w:p>
    <w:bookmarkEnd w:id="14"/>
    <w:bookmarkStart w:id="15" w:name="X2067456580631f6e8b7e3c1a0aff6f4c6f30089"/>
    <w:p>
      <w:pPr>
        <w:pStyle w:val="Heading2"/>
      </w:pPr>
      <w:r>
        <w:t xml:space="preserve">Slide 7 — Arquitectura: API + Tablero + Docker (70-80 seg — el corazón técnico de esta entrega)</w:t>
      </w:r>
    </w:p>
    <w:p>
      <w:pPr>
        <w:pStyle w:val="FirstParagraph"/>
      </w:pPr>
      <w:r>
        <w:rPr>
          <w:b/>
          <w:bCs/>
        </w:rPr>
        <w:t xml:space="preserve">Decir:</w:t>
      </w:r>
      <w:r>
        <w:t xml:space="preserve"> </w:t>
      </w:r>
      <w:r>
        <w:t xml:space="preserve">“Esta es la novedad central de la Entrega Final. Hasta la entrega anterior, el tablero cargaba el modelo directamente con</w:t>
      </w:r>
      <w:r>
        <w:t xml:space="preserve"> </w:t>
      </w:r>
      <w:r>
        <w:rPr>
          <w:rStyle w:val="VerbatimChar"/>
        </w:rPr>
        <w:t xml:space="preserve">joblib</w:t>
      </w:r>
      <w:r>
        <w:t xml:space="preserve">. Para esta entrega separamos esa responsabilidad: construimos</w:t>
      </w:r>
      <w:r>
        <w:t xml:space="preserve"> </w:t>
      </w:r>
      <w:r>
        <w:rPr>
          <w:rStyle w:val="VerbatimChar"/>
        </w:rPr>
        <w:t xml:space="preserve">churn-api</w:t>
      </w:r>
      <w:r>
        <w:t xml:space="preserve">, un servicio FastAPI que empaqueta el modelo y expone endpoints REST — salud, predicción individual, predicción en lote, e importancia de variables. El tablero ahora es un cliente HTTP de esa API, no tiene el modelo embebido. Ambos servicios corren en contenedores Docker independientes, orquestados con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, desplegados en una instancia AWS EC2 dedicada.”</w:t>
      </w:r>
    </w:p>
    <w:p>
      <w:pPr>
        <w:pStyle w:val="BodyText"/>
      </w:pPr>
      <w:r>
        <w:rPr>
          <w:b/>
          <w:bCs/>
        </w:rPr>
        <w:t xml:space="preserve">Para profundizar (esta es la parte donde más pueden preguntar):</w:t>
      </w:r>
      <w:r>
        <w:t xml:space="preserve"> </w:t>
      </w:r>
      <w:r>
        <w:t xml:space="preserve">- Por qué separar: desacopla el ciclo de vida del modelo del de la interfaz — se puede actualizar el modelo y redesplegar solo</w:t>
      </w:r>
      <w:r>
        <w:t xml:space="preserve"> </w:t>
      </w:r>
      <w:r>
        <w:rPr>
          <w:rStyle w:val="VerbatimChar"/>
        </w:rPr>
        <w:t xml:space="preserve">churn-api</w:t>
      </w:r>
      <w:r>
        <w:t xml:space="preserve"> </w:t>
      </w:r>
      <w:r>
        <w:t xml:space="preserve">sin tocar el tablero, y viceversa. Es la arquitectura que se usaría en un escenario de producción real con varios consumidores de un mismo modelo (podría haber otro cliente además del tablero — un app móvil, otro sistema interno — consumiendo la misma API).</w:t>
      </w:r>
      <w:r>
        <w:t xml:space="preserve"> </w:t>
      </w:r>
      <w:r>
        <w:t xml:space="preserve">- Los 2 contenedores se comunican por la red interna que crea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automáticamente: el tablero llama a</w:t>
      </w:r>
      <w:r>
        <w:t xml:space="preserve"> </w:t>
      </w:r>
      <w:r>
        <w:rPr>
          <w:rStyle w:val="VerbatimChar"/>
        </w:rPr>
        <w:t xml:space="preserve">http://churn-api:8001</w:t>
      </w:r>
      <w:r>
        <w:t xml:space="preserve"> </w:t>
      </w:r>
      <w:r>
        <w:t xml:space="preserve">usando el nombre del servicio como hostname (resolución DNS interna de Docker), no una IP fija.</w:t>
      </w:r>
      <w:r>
        <w:t xml:space="preserve"> </w:t>
      </w:r>
      <w:r>
        <w:t xml:space="preserve">- Puertos:</w:t>
      </w:r>
      <w:r>
        <w:t xml:space="preserve"> </w:t>
      </w:r>
      <w:r>
        <w:rPr>
          <w:rStyle w:val="VerbatimChar"/>
        </w:rPr>
        <w:t xml:space="preserve">churn-api</w:t>
      </w:r>
      <w:r>
        <w:t xml:space="preserve"> </w:t>
      </w:r>
      <w:r>
        <w:t xml:space="preserve">en 8001 (FastAPI/Uvicorn),</w:t>
      </w:r>
      <w:r>
        <w:t xml:space="preserve"> </w:t>
      </w:r>
      <w:r>
        <w:rPr>
          <w:rStyle w:val="VerbatimChar"/>
        </w:rPr>
        <w:t xml:space="preserve">churn-tablero</w:t>
      </w:r>
      <w:r>
        <w:t xml:space="preserve"> </w:t>
      </w:r>
      <w:r>
        <w:t xml:space="preserve">en 8501 (Streamlit).</w:t>
      </w:r>
      <w:r>
        <w:t xml:space="preserve"> </w:t>
      </w:r>
      <w:r>
        <w:t xml:space="preserve">- Detalle de infraestructura: el modelo (</w:t>
      </w:r>
      <w:r>
        <w:rPr>
          <w:rStyle w:val="VerbatimChar"/>
        </w:rPr>
        <w:t xml:space="preserve">modelo_churn_final.joblib</w:t>
      </w:r>
      <w:r>
        <w:t xml:space="preserve">) y el dataset limpio no viajan por Git — se regeneran en la máquina de despliegue a partir del dataset versionado en DVC (remoto S3), corriendo</w:t>
      </w:r>
      <w:r>
        <w:t xml:space="preserve"> </w:t>
      </w:r>
      <w:r>
        <w:rPr>
          <w:rStyle w:val="VerbatimChar"/>
        </w:rPr>
        <w:t xml:space="preserve">dvc pull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train_final_model.py</w:t>
      </w:r>
      <w:r>
        <w:t xml:space="preserve"> </w:t>
      </w:r>
      <w:r>
        <w:t xml:space="preserve">antes de construir las imágenes Docker. Esto mantiene el repositorio liviano y totalmente reproducible.</w:t>
      </w:r>
      <w:r>
        <w:t xml:space="preserve"> </w:t>
      </w:r>
      <w:r>
        <w:t xml:space="preserve">- Usamos una instancia EC2</w:t>
      </w:r>
      <w:r>
        <w:t xml:space="preserve"> </w:t>
      </w:r>
      <w:r>
        <w:rPr>
          <w:b/>
          <w:bCs/>
        </w:rPr>
        <w:t xml:space="preserve">distinta</w:t>
      </w:r>
      <w:r>
        <w:t xml:space="preserve"> </w:t>
      </w:r>
      <w:r>
        <w:t xml:space="preserve">a la del servidor de MLflow, específicamente para no arriesgar la evidencia de los experimentos de la Entrega 2.</w:t>
      </w:r>
      <w:r>
        <w:t xml:space="preserve"> </w:t>
      </w:r>
      <w:r>
        <w:t xml:space="preserve">- Endpoints exactos de la API: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/predict_batch</w:t>
      </w:r>
      <w:r>
        <w:t xml:space="preserve"> </w:t>
      </w:r>
      <w:r>
        <w:t xml:space="preserve">(usado por la Matriz de Priorización para anotar hasta 1,500 clientes en una sola llamada),</w:t>
      </w:r>
      <w:r>
        <w:t xml:space="preserve"> </w:t>
      </w:r>
      <w:r>
        <w:rPr>
          <w:rStyle w:val="VerbatimChar"/>
        </w:rPr>
        <w:t xml:space="preserve">GET /feature-importances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21a7d4d0001a7f7b4e91c04c6d7d13acc9a1ea5"/>
    <w:p>
      <w:pPr>
        <w:pStyle w:val="Heading2"/>
      </w:pPr>
      <w:r>
        <w:t xml:space="preserve">Slide 8 — Demo: la API en producción (40-50 seg)</w:t>
      </w:r>
    </w:p>
    <w:p>
      <w:pPr>
        <w:pStyle w:val="FirstParagraph"/>
      </w:pPr>
      <w:r>
        <w:rPr>
          <w:b/>
          <w:bCs/>
        </w:rPr>
        <w:t xml:space="preserve">Decir:</w:t>
      </w:r>
      <w:r>
        <w:t xml:space="preserve"> </w:t>
      </w:r>
      <w:r>
        <w:t xml:space="preserve">“Aquí ven la documentación interactiva de la API — Swagger, autogenerada por FastAPI — corriendo en la IP pública de nuestra instancia EC2. Le enviamos el perfil de un cliente al endpoint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y responde con la probabilidad de fuga y la etiqueta de riesgo. Esto confirma que no es una demo local: la API está viva en la nube.”</w:t>
      </w:r>
    </w:p>
    <w:p>
      <w:pPr>
        <w:pStyle w:val="BodyText"/>
      </w:pPr>
      <w:r>
        <w:rPr>
          <w:b/>
          <w:bCs/>
        </w:rPr>
        <w:t xml:space="preserve">Para profundizar:</w:t>
      </w:r>
      <w:r>
        <w:t xml:space="preserve"> </w:t>
      </w:r>
      <w:r>
        <w:t xml:space="preserve">Si hay tiempo, mencionar que también expusimos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(Swagger) sin necesidad de escribir documentación manual — es un beneficio directo de usar FastAPI con Pydantic: los esquemas de request/response se derivan del código y quedan documentados automáticamente.</w:t>
      </w:r>
    </w:p>
    <w:p>
      <w:r>
        <w:pict>
          <v:rect style="width:0;height:1.5pt" o:hralign="center" o:hrstd="t" o:hr="t"/>
        </w:pict>
      </w:r>
    </w:p>
    <w:bookmarkEnd w:id="16"/>
    <w:bookmarkStart w:id="17" w:name="X61509d8225cee40e023e7a071c1a2a78b49a23f"/>
    <w:p>
      <w:pPr>
        <w:pStyle w:val="Heading2"/>
      </w:pPr>
      <w:r>
        <w:t xml:space="preserve">Slide 9 — Demo: el tablero, Simulador de Escenarios (40-50 seg)</w:t>
      </w:r>
    </w:p>
    <w:p>
      <w:pPr>
        <w:pStyle w:val="FirstParagraph"/>
      </w:pPr>
      <w:r>
        <w:rPr>
          <w:b/>
          <w:bCs/>
        </w:rPr>
        <w:t xml:space="preserve">Decir:</w:t>
      </w:r>
      <w:r>
        <w:t xml:space="preserve"> </w:t>
      </w:r>
      <w:r>
        <w:t xml:space="preserve">“Y aquí el tablero, ya consumiendo esa misma API. Un Account Manager elige un cliente, cambia por ejemplo el tipo de contrato o si tiene soporte técnico, y ve al instante cómo cambia la probabilidad de fuga — en este caso, 62%, alto riesgo. Cada cambio dispara una llamada HTTP real a</w:t>
      </w:r>
      <w:r>
        <w:t xml:space="preserve"> </w:t>
      </w:r>
      <w:r>
        <w:rPr>
          <w:rStyle w:val="VerbatimChar"/>
        </w:rPr>
        <w:t xml:space="preserve">churn-api</w:t>
      </w:r>
      <w:r>
        <w:t xml:space="preserve">, no hay cómputo local en el tablero.”</w:t>
      </w:r>
    </w:p>
    <w:p>
      <w:pPr>
        <w:pStyle w:val="BodyText"/>
      </w:pPr>
      <w:r>
        <w:rPr>
          <w:b/>
          <w:bCs/>
        </w:rPr>
        <w:t xml:space="preserve">Para profundizar:</w:t>
      </w:r>
      <w:r>
        <w:t xml:space="preserve"> </w:t>
      </w:r>
      <w:r>
        <w:t xml:space="preserve">El</w:t>
      </w:r>
      <w:r>
        <w:t xml:space="preserve"> </w:t>
      </w:r>
      <w:r>
        <w:t xml:space="preserve">“cambio (delta)”</w:t>
      </w:r>
      <w:r>
        <w:t xml:space="preserve"> </w:t>
      </w:r>
      <w:r>
        <w:t xml:space="preserve">que se muestra junto al resultado compara la probabilidad simulada contra la probabilidad del perfil original del cliente — eso ayuda a cuantificar el impacto de una acción de retención específica (p. ej.,</w:t>
      </w:r>
      <w:r>
        <w:t xml:space="preserve"> </w:t>
      </w:r>
      <w:r>
        <w:t xml:space="preserve">“ofrecerle un contrato anual reduciría su riesgo en X puntos porcentuales”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7"/>
    <w:bookmarkStart w:id="18" w:name="X93d7d7dcb686687d9e9607874f6eeae8a982575"/>
    <w:p>
      <w:pPr>
        <w:pStyle w:val="Heading2"/>
      </w:pPr>
      <w:r>
        <w:t xml:space="preserve">Slide 10 — Demo: priorización y explicabilidad (40-50 seg)</w:t>
      </w:r>
    </w:p>
    <w:p>
      <w:pPr>
        <w:pStyle w:val="FirstParagraph"/>
      </w:pPr>
      <w:r>
        <w:rPr>
          <w:b/>
          <w:bCs/>
        </w:rPr>
        <w:t xml:space="preserve">Decir:</w:t>
      </w:r>
      <w:r>
        <w:t xml:space="preserve"> </w:t>
      </w:r>
      <w:r>
        <w:t xml:space="preserve">“Por un lado, la Matriz de Priorización: cada punto es un cliente, cruzando probabilidad de fuga contra facturación mensual. Los puntos rojos, en la esquina de alto riesgo y alto valor, son la Zona Crítica — en esta muestra, 395 clientes que el equipo de gestión debería atender primero. Y por otro lado, Factores de Influencia, que confirma que</w:t>
      </w:r>
      <w:r>
        <w:t xml:space="preserve"> </w:t>
      </w:r>
      <w:r>
        <w:rPr>
          <w:rStyle w:val="VerbatimChar"/>
        </w:rPr>
        <w:t xml:space="preserve">Contract</w:t>
      </w:r>
      <w:r>
        <w:t xml:space="preserve">, antigüedad y facturación total son las variables que más pesan en la predicción.”</w:t>
      </w:r>
    </w:p>
    <w:p>
      <w:pPr>
        <w:pStyle w:val="BodyText"/>
      </w:pPr>
      <w:r>
        <w:rPr>
          <w:b/>
          <w:bCs/>
        </w:rPr>
        <w:t xml:space="preserve">Para profundizar:</w:t>
      </w:r>
      <w:r>
        <w:t xml:space="preserve"> </w:t>
      </w:r>
      <w:r>
        <w:t xml:space="preserve">Ambos umbrales (de riesgo y de valor) son ajustables con sliders en vivo — el tablero no tiene un único punto de corte fijo, se adapta a la política de negocio que quiera aplicar cada equipo comercial.</w:t>
      </w:r>
    </w:p>
    <w:p>
      <w:r>
        <w:pict>
          <v:rect style="width:0;height:1.5pt" o:hralign="center" o:hrstd="t" o:hr="t"/>
        </w:pict>
      </w:r>
    </w:p>
    <w:bookmarkEnd w:id="18"/>
    <w:bookmarkStart w:id="19" w:name="X04347d92bb57a56da9efdf894cf70aeee212825"/>
    <w:p>
      <w:pPr>
        <w:pStyle w:val="Heading2"/>
      </w:pPr>
      <w:r>
        <w:t xml:space="preserve">Slide 11 — Resultados y conclusiones (50-60 seg)</w:t>
      </w:r>
    </w:p>
    <w:p>
      <w:pPr>
        <w:pStyle w:val="FirstParagraph"/>
      </w:pPr>
      <w:r>
        <w:rPr>
          <w:b/>
          <w:bCs/>
        </w:rPr>
        <w:t xml:space="preserve">Decir:</w:t>
      </w:r>
      <w:r>
        <w:t xml:space="preserve"> </w:t>
      </w:r>
      <w:r>
        <w:t xml:space="preserve">“En resumen: entregamos un prototipo funcional completo — modelo, API y tablero — desplegado en la nube y accesible públicamente, no solo un notebook. La arquitectura desacoplada nos acerca a un escenario de producción real. El modelo cumple el objetivo de negocio: identifica automáticamente las cuentas que más urge atender. Y los factores más importantes son consistentes desde el análisis exploratorio de la primera entrega hasta el modelo final, lo cual nos da confianza en que el modelo capturó señal real y no ruido. Como trabajo futuro, dejamos identificado: autenticación en la API, monitoreo de drift del modelo en producción, y un pipeline de CI/CD que dispare automáticamente un nuevo despliegue ante cada actualización del modelo o del tablero.”</w:t>
      </w:r>
    </w:p>
    <w:p>
      <w:pPr>
        <w:pStyle w:val="BodyText"/>
      </w:pPr>
      <w:r>
        <w:rPr>
          <w:b/>
          <w:bCs/>
        </w:rPr>
        <w:t xml:space="preserve">Para profundizar:</w:t>
      </w:r>
      <w:r>
        <w:t xml:space="preserve"> </w:t>
      </w:r>
      <w:r>
        <w:t xml:space="preserve">Si preguntan qué es</w:t>
      </w:r>
      <w:r>
        <w:t xml:space="preserve"> </w:t>
      </w:r>
      <w:r>
        <w:t xml:space="preserve">“drift”</w:t>
      </w:r>
      <w:r>
        <w:t xml:space="preserve">: es el fenómeno donde el comportamiento de los clientes cambia con el tiempo (nuevas ofertas de la competencia, cambios económicos) y el modelo entrenado con datos históricos pierde precisión — monitorearlo implica comparar la distribución de las predicciones/datos de entrada en producción contra la distribución de entrenamiento.</w:t>
      </w:r>
    </w:p>
    <w:p>
      <w:r>
        <w:pict>
          <v:rect style="width:0;height:1.5pt" o:hralign="center" o:hrstd="t" o:hr="t"/>
        </w:pict>
      </w:r>
    </w:p>
    <w:bookmarkEnd w:id="19"/>
    <w:bookmarkStart w:id="20" w:name="slide-12-cierre-10-seg"/>
    <w:p>
      <w:pPr>
        <w:pStyle w:val="Heading2"/>
      </w:pPr>
      <w:r>
        <w:t xml:space="preserve">Slide 12 — Cierre (10 seg)</w:t>
      </w:r>
    </w:p>
    <w:p>
      <w:pPr>
        <w:pStyle w:val="FirstParagraph"/>
      </w:pPr>
      <w:r>
        <w:rPr>
          <w:b/>
          <w:bCs/>
        </w:rPr>
        <w:t xml:space="preserve">Decir:</w:t>
      </w:r>
      <w:r>
        <w:t xml:space="preserve"> </w:t>
      </w:r>
      <w:r>
        <w:t xml:space="preserve">“Gracias. Quedamos atentos a sus preguntas y retroalimentación.”</w:t>
      </w:r>
    </w:p>
    <w:p>
      <w:r>
        <w:pict>
          <v:rect style="width:0;height:1.5pt" o:hralign="center" o:hrstd="t" o:hr="t"/>
        </w:pict>
      </w:r>
    </w:p>
    <w:bookmarkEnd w:id="20"/>
    <w:bookmarkStart w:id="21" w:name="Xc99a6ea6fcae7689222f6ec6bf5de7025e6a85f"/>
    <w:p>
      <w:pPr>
        <w:pStyle w:val="Heading2"/>
      </w:pPr>
      <w:r>
        <w:t xml:space="preserve">Preguntas frecuentes que podrían hacerles (preparar respuesta corta)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¿Por qué Random Forest y no Gradient Boosting si tiene mejor accuracy?</w:t>
      </w:r>
      <w:r>
        <w:t xml:space="preserve"> </w:t>
      </w:r>
      <w:r>
        <w:t xml:space="preserve">→ Por el costo de negocio asimétrico: un falso negativo (cliente que se va y no lo detectamos) es más caro que un falso positivo (alerta de más). Recall es la métrica que más nos importa, y ahí Random Forest gana claramente (0.72 vs 0.52).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¿Por qué separar el tablero de la API si funcionaba igual antes?</w:t>
      </w:r>
      <w:r>
        <w:t xml:space="preserve"> </w:t>
      </w:r>
      <w:r>
        <w:t xml:space="preserve">→ Desacople de ciclo de vida, reutilización del modelo por otros consumidores, y es el patrón estándar de arquitectura en producción (microservicios).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¿Qué pasa si la API se cae?</w:t>
      </w:r>
      <w:r>
        <w:t xml:space="preserve"> </w:t>
      </w:r>
      <w:r>
        <w:t xml:space="preserve">→ El tablero detecta el error de conexión y muestra un mensaje claro al usuario en vez de fallar silenciosamente (lo implementamos explícitamente con un chequeo de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al cargar el tablero).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¿Los datos están seguros?</w:t>
      </w:r>
      <w:r>
        <w:t xml:space="preserve"> </w:t>
      </w:r>
      <w:r>
        <w:t xml:space="preserve">→ El dataset se versiona en DVC con un remoto S3 privado (acceso público bloqueado); las credenciales de AWS usadas son temporales (AWS Academy Learner Lab).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¿Cómo se actualiza el modelo en producción?</w:t>
      </w:r>
      <w:r>
        <w:t xml:space="preserve"> </w:t>
      </w:r>
      <w:r>
        <w:t xml:space="preserve">→ Se reentrena con</w:t>
      </w:r>
      <w:r>
        <w:t xml:space="preserve"> </w:t>
      </w:r>
      <w:r>
        <w:rPr>
          <w:rStyle w:val="VerbatimChar"/>
        </w:rPr>
        <w:t xml:space="preserve">train_final_model.py</w:t>
      </w:r>
      <w:r>
        <w:t xml:space="preserve">, se reconstruye solo la imagen de</w:t>
      </w:r>
      <w:r>
        <w:t xml:space="preserve"> </w:t>
      </w:r>
      <w:r>
        <w:rPr>
          <w:rStyle w:val="VerbatimChar"/>
        </w:rPr>
        <w:t xml:space="preserve">churn-api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 compose up -d --build churn-api</w:t>
      </w:r>
      <w:r>
        <w:t xml:space="preserve">), y el tablero sigue funcionando sin cambios porque solo depende del contrato de la API, no del modelo internamente.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2026-07-20T21:15:54Z</dcterms:created>
  <dcterms:modified xsi:type="dcterms:W3CDTF">2026-07-20T21:15:54Z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