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850"/>
        <w:jc w:val="right"/>
        <w:spacing w:line="360" w:lineRule="auto"/>
      </w:pPr>
      <w:r>
        <w:rPr>
          <w:sz w:val="28"/>
          <w:highlight w:val="green"/>
        </w:rPr>
        <w:t xml:space="preserve">When installing Doom 3 you will be prompted to enter your CD authentication key.</w:t>
      </w:r>
      <w:r>
        <w:rPr>
          <w:sz w:val="28"/>
          <w:highlight w:val="none"/>
        </w:rPr>
        <w:t xml:space="preserve"> The authentication key appears on the CD packaging.</w:t>
      </w:r>
      <w:r>
        <w:rPr>
          <w:sz w:val="28"/>
        </w:rPr>
      </w:r>
      <w:r/>
    </w:p>
    <w:p>
      <w:pPr>
        <w:ind w:left="0" w:right="0" w:firstLine="850"/>
        <w:jc w:val="both"/>
        <w:spacing w:line="360" w:lineRule="auto"/>
        <w:rPr>
          <w:rFonts w:ascii="Arial" w:hAnsi="Arial" w:cs="Arial" w:eastAsia="Arial"/>
          <w:highlight w:val="none"/>
        </w:rPr>
      </w:pPr>
      <w:r>
        <w:rPr>
          <w:rFonts w:ascii="Arial" w:hAnsi="Arial" w:cs="Arial" w:eastAsia="Arial"/>
          <w:b/>
        </w:rPr>
        <w:t xml:space="preserve">Электроды </w:t>
      </w:r>
      <w:r>
        <w:rPr>
          <w:rFonts w:ascii="Arial" w:hAnsi="Arial" w:cs="Arial" w:eastAsia="Arial"/>
        </w:rPr>
        <w:t xml:space="preserve">анодного заземления из токопроводного</w:t>
      </w:r>
      <w:r>
        <w:rPr>
          <w:rFonts w:ascii="Arial" w:hAnsi="Arial" w:cs="Arial" w:eastAsia="Arial"/>
        </w:rPr>
        <w:t xml:space="preserve"> эластомера серии ЭР – это один из показательных примеров научной разработки и организации производства продукции, которые коренным образом изменили принципы технологического процесса от проектирования до эксплуатации в области катодной защиты от коррозии.</w:t>
      </w:r>
      <w:r>
        <w:rPr>
          <w:rFonts w:ascii="Arial" w:hAnsi="Arial" w:cs="Arial" w:eastAsia="Arial"/>
        </w:rPr>
      </w:r>
      <w:r/>
    </w:p>
    <w:tbl>
      <w:tblPr>
        <w:tblStyle w:val="666"/>
        <w:tblW w:w="0" w:type="auto"/>
        <w:tblLayout w:type="fixed"/>
        <w:tblLook w:val="04A0" w:firstRow="1" w:lastRow="0" w:firstColumn="1" w:lastColumn="0" w:noHBand="0" w:noVBand="1"/>
      </w:tblPr>
      <w:tblGrid>
        <w:gridCol w:w="7194"/>
        <w:gridCol w:w="887"/>
        <w:gridCol w:w="887"/>
      </w:tblGrid>
      <w:tr>
        <w:trPr>
          <w:trHeight w:val="376"/>
        </w:trPr>
        <w:tc>
          <w:tcPr>
            <w:shd w:val="clear" w:color="ade9ff" w:fill="ade9ff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194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pP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  <w:t xml:space="preserve">Мишка плюшевый</w:t>
            </w: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150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5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</w:tr>
      <w:tr>
        <w:trPr>
          <w:trHeight w:val="415"/>
        </w:trPr>
        <w:tc>
          <w:tcPr>
            <w:shd w:val="clear" w:color="ade9ff" w:fill="ade9ff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194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pP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  <w:t xml:space="preserve">Гусь </w:t>
            </w: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  <w:t xml:space="preserve">пластмассовый</w:t>
            </w: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120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4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</w:tr>
      <w:tr>
        <w:trPr>
          <w:trHeight w:val="415"/>
        </w:trPr>
        <w:tc>
          <w:tcPr>
            <w:shd w:val="clear" w:color="ade9ff" w:fill="ade9ff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194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pP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  <w:t xml:space="preserve">Чебурашка меховой</w:t>
            </w: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300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2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</w:tr>
      <w:tr>
        <w:trPr>
          <w:trHeight w:val="415"/>
        </w:trPr>
        <w:tc>
          <w:tcPr>
            <w:shd w:val="clear" w:color="ade9ff" w:fill="ade9ff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194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pP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  <w:t xml:space="preserve">Игра настольная "Монополия"</w:t>
            </w:r>
            <w:r>
              <w:rPr>
                <w:rFonts w:ascii="Arial" w:hAnsi="Arial" w:cs="Arial" w:eastAsia="Arial"/>
                <w:b/>
                <w:color w:val="C00000"/>
                <w:sz w:val="22"/>
                <w:u w:val="none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250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  <w:tc>
          <w:tcPr>
            <w:shd w:val="clear" w:color="fef2cb" w:themeColor="accent4" w:themeTint="33" w:fill="fef2cb" w:themeFill="accent4" w:themeFillTint="3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8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240" w:lineRule="auto"/>
              <w:rPr>
                <w:rFonts w:ascii="Arial" w:hAnsi="Arial" w:cs="Arial" w:eastAsia="Arial"/>
                <w:b w:val="0"/>
                <w:sz w:val="18"/>
              </w:rPr>
            </w:pPr>
            <w:r>
              <w:rPr>
                <w:rFonts w:ascii="Arial" w:hAnsi="Arial" w:cs="Arial" w:eastAsia="Arial"/>
                <w:b w:val="0"/>
                <w:color w:val="000000"/>
                <w:sz w:val="18"/>
              </w:rPr>
              <w:t xml:space="preserve">1</w:t>
            </w:r>
            <w:r>
              <w:rPr>
                <w:rFonts w:ascii="Arial" w:hAnsi="Arial" w:cs="Arial" w:eastAsia="Arial"/>
                <w:b w:val="0"/>
                <w:sz w:val="18"/>
              </w:rPr>
            </w:r>
            <w:r/>
          </w:p>
        </w:tc>
      </w:tr>
    </w:tbl>
    <w:p>
      <w:pPr>
        <w:ind w:left="0" w:right="0" w:firstLine="850"/>
        <w:jc w:val="both"/>
        <w:spacing w:line="360" w:lineRule="auto"/>
        <w:rPr>
          <w:rFonts w:ascii="Arial" w:hAnsi="Arial" w:cs="Arial" w:eastAsia="Arial"/>
          <w:highlight w:val="none"/>
        </w:rPr>
      </w:pPr>
      <w:r>
        <w:rPr>
          <w:rFonts w:ascii="Arial" w:hAnsi="Arial" w:cs="Arial" w:eastAsia="Arial"/>
          <w:highlight w:val="none"/>
        </w:rPr>
      </w:r>
      <w:r>
        <w:rPr>
          <w:rFonts w:ascii="Arial" w:hAnsi="Arial" w:cs="Arial" w:eastAsia="Arial"/>
          <w:highlight w:val="none"/>
        </w:rPr>
      </w:r>
    </w:p>
    <w:p>
      <w:pPr>
        <w:pStyle w:val="636"/>
        <w:ind w:left="0" w:right="0" w:firstLine="0"/>
        <w:spacing w:before="299" w:after="29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36"/>
        </w:rPr>
        <w:t xml:space="preserve">Об институте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В современном мире просто невозможно представить жизнь без информационных технологий.  Информационные технологии играют ключевую роль в формировании техноструктуры, активно внедряются во все сферы жизни, включая домашний быт, развлечения и досуг.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Институт прикладной математики и компьютерных наук создан в 2014 году на базе факультета кибернетики (основан в 1963 г.) и механико-математического факультета (основан в 1996 г.).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 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Основная цель создания института -- развитие математического и информационного образования в Тульском регионе и России в целом, углубления интеграции с ведущими профильными  институтами, концентрация научного потенциала, в области информационных технологий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Обучение в институте обеспечивает подготовку в области информационных технологий, информационной безопасности, программирования, математического анализа и моделирования. Студенты изучают современные языки программирования, архитектуру компьютеров и компьют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ерные сети, операционные системы, базы данных, средства обеспечения информационной безопасности, математические модели объектов различной сложности. Получают навыки разработки и использования математического, программного и технического обеспечения, средст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в обеспечения информационной безопасности автоматизированных систем, методов искусственного интеллекта и др.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Студенты института активно занимаются научно-исследовательской деятельностью, участвуют в творческих конкурсах, занимают призовые места в спортивных соревнованиях различного уровня. Имеется возможность продолжения обучения в магистратуре, аспирантуре, что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является залогом деловой карьеры.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Выпускники института постоянно востребованы на рынке труда и подготовлены к:</w:t>
      </w:r>
      <w:r/>
    </w:p>
    <w:p>
      <w:pPr>
        <w:pStyle w:val="814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использованию информационных технологий в проектно-конструкторской, управленческой и финансовой деятельностях;</w:t>
      </w:r>
      <w:r/>
    </w:p>
    <w:p>
      <w:pPr>
        <w:pStyle w:val="814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разработке и применению современных математических методов и программного обеспечения для решения задач науки, техники, экономики и управления;</w:t>
      </w:r>
      <w:r/>
    </w:p>
    <w:p>
      <w:pPr>
        <w:pStyle w:val="814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созданию и использованию математических моделей процессов и объектов;</w:t>
      </w:r>
      <w:r/>
    </w:p>
    <w:p>
      <w:pPr>
        <w:pStyle w:val="814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выполнению исследовательской деятельности в областях, использующих методы прикладной математики и компьютерных технологий.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Сферами профессиональной деятельности выпускника являются научно-исследовательские центры, государственные органы управления, коммерческие и банковские структуры, образовательные учреждения и организации различных форм собственности, использующие методы пр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икладной математики и компьютерные технологии в своей работе. Выпускники реализуют себя в следующих профессиональных областях: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Руководитель проектов в области информационных технологий;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Руководитель разработки программного обеспечения;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Архитектор программного обеспечения;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Программист;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Системный программист;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Специалист по тестированию в области информационных технологий;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Технический писатель (специалист по технической документации в области информационных технологий);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Специалист по информационным ресурсам и системам;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Специалист по защите информации;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Специалист по технической поддержке информационно-коммуникационных систем;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Специалист по дизайну графических и пользовательских интерфейсов;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Специалист по администрированию сетевых устройств информационно-коммуникационных систем;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Администратор баз данных;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Системный администратор информационно-коммуникационных систем;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Системный аналитик;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Учитель математики и информатики;</w:t>
      </w:r>
      <w:r/>
    </w:p>
    <w:p>
      <w:pPr>
        <w:pStyle w:val="814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Научный сотрудник в области математики, информатики и вычислительной техники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636"/>
        <w:ind w:left="0" w:right="0" w:firstLine="0"/>
        <w:spacing w:before="299" w:after="29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36"/>
        </w:rPr>
        <w:t xml:space="preserve">История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Институт прикладной математики и компьютерных наук создан в 2014 году на базе факультета кибернетики (основан в 1963 г.) и механико-математического факультета (основан в 1996 г.).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636"/>
        <w:ind w:left="0" w:right="0" w:firstLine="0"/>
        <w:spacing w:before="299" w:after="29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36"/>
        </w:rPr>
        <w:t xml:space="preserve">Наука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Кафедра прикладной математики и информатики - проведение фундаментальных исследований по теории приближений, теории групп, дискретной математике, исследование распространения звуковых упругих и электромагнитных волн, применение информационных технологий, в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ероятностно-статистических методов и методов оптимизации к решению прикладных задач.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Кафедра вычислительной техники - разработка и исследование многопроцессорных систем обработки информации; моделирование и автоматизация сложных процессов; разработка вычислительных систем высокого быстродействия.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Кафедра информационной безопасности - cоздание математических методов и комплекса унифицированных алгоритмов и программ для решения задач анализа массивов упорядоченных данных, на основе вероятностных марковских моделей; структурно – инвариантный анализ в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информационных системах; создание целостной концепции математического моделирования и идентификации электротехнологических процессов, методологии получения информации о недоступном для прямых измерений их внутреннего состояния по наблюдаемым внешним косвен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ным показателям; способы построения и методы расчета параметров настройки супервизорных автоматических систем, регуляторов и устройств с переменной структурой, защитой от насыщения и расширенными функциональными возможностями для управления технологическим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и процессами.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Кафедра вычислительной механики и математики – нелинейная теория упругости, динамика вязкоупругих конструкций, двумерные задачи механики деформируемого твёрдого тела, задачи конечного упругопластического формоизменения, механика разрушения.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Научные разработки сотрудников кафедр ежегодно поддерживаются российским фондом фундаментальных исследователей, выполняются различные хозяйственные договора с предприятиями. Студенты института неоднократно становились победителями грантов фонда содействия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инновациям по программе «УМНИК», различных конкурсов научно-исследовательских работ, ежегодно участвуют в научных конференциях вузовского, регионального, всероссийского и международного масштабов.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Для популяризации и продвижения научно-исследовательской и опытно-конструкторской деятельности среди молодежи в институте в 2019 году организовано Студенческое конструкторское бюро, где студенты выполняют разработки по заказам предприятий реального сектора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экономии.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 2021 года в университете работает научная лаборатория когнитивных технологий и симуляционных систем, в состав которой вошли сотрудники и студенты кафедры информационной безопасности, 2/3 состава лаборатории молодые исследователи в возрасте до 35 лет.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636"/>
        <w:ind w:left="0" w:right="0" w:firstLine="0"/>
        <w:spacing w:before="299" w:after="29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36"/>
        </w:rPr>
        <w:t xml:space="preserve">Студенческая жизнь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В институте большое внимание уделяется внеучебной работе. Студенты института активно участвуют и занимают призовые места в профильных соревнованиях и олимпиадах, хакатонах, творческих конкурсах, в спортивных соревнованиях различного уровня и пр.</w:t>
      </w:r>
      <w:r/>
    </w:p>
    <w:tbl>
      <w:tblPr>
        <w:tblStyle w:val="666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3119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10000" cy="3810000"/>
                      <wp:effectExtent l="0" t="0" r="0" b="0"/>
                      <wp:docPr id="1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74595722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09999" cy="3809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300.0pt;height:300.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10000" cy="3810000"/>
                      <wp:effectExtent l="0" t="0" r="0" b="0"/>
                      <wp:docPr id="2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97424741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09999" cy="3809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mso-wrap-distance-left:0.0pt;mso-wrap-distance-top:0.0pt;mso-wrap-distance-right:0.0pt;mso-wrap-distance-bottom:0.0pt;width:300.0pt;height:300.0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10000" cy="3810000"/>
                      <wp:effectExtent l="0" t="0" r="0" b="0"/>
                      <wp:docPr id="3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24918607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09999" cy="3809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mso-wrap-distance-left:0.0pt;mso-wrap-distance-top:0.0pt;mso-wrap-distance-right:0.0pt;mso-wrap-distance-bottom:0.0pt;width:300.0pt;height:300.0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</w:tr>
    </w:tbl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В институте работает школа спортивного программирования (</w:t>
      </w:r>
      <w:hyperlink r:id="rId12" w:tooltip="https://vk.com/tsu.tula.icpc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https://vk.com/tsu.tula.icpc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), ежегодно проводится региональная олимпиада по программированию для студентов и школьников (</w:t>
      </w:r>
      <w:hyperlink r:id="rId13" w:tooltip="https://vk.com/acm_ipmkn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https://vk.com/acm_ipmkn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), а также организуется квалификационный отбор и четвертьфинальный этап международных студенческих соревнований по программированию ICPC (</w:t>
      </w:r>
      <w:hyperlink r:id="rId14" w:tooltip="https://icpc.global/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https://icpc.global/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Ежегодно с 2018 года институтом совместно с ведущими IT-компаниями региона проводится межрегиональный хакатонTulaHack (</w:t>
      </w:r>
      <w:hyperlink r:id="rId15" w:tooltip="https://vk.com/tulahack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https://vk.com/tulahack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).</w:t>
      </w:r>
      <w:r/>
    </w:p>
    <w:tbl>
      <w:tblPr>
        <w:tblStyle w:val="666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559"/>
        <w:gridCol w:w="1559"/>
        <w:gridCol w:w="1559"/>
      </w:tblGrid>
      <w:tr>
        <w:trPr/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4678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762500" cy="4762500"/>
                      <wp:effectExtent l="0" t="0" r="0" b="0"/>
                      <wp:docPr id="4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71498459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762499" cy="47624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mso-wrap-distance-left:0.0pt;mso-wrap-distance-top:0.0pt;mso-wrap-distance-right:0.0pt;mso-wrap-distance-bottom:0.0pt;width:375.0pt;height:375.0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/>
          </w:p>
        </w:tc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4677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762500" cy="4762500"/>
                      <wp:effectExtent l="0" t="0" r="0" b="0"/>
                      <wp:docPr id="5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6271093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762499" cy="47624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mso-wrap-distance-left:0.0pt;mso-wrap-distance-top:0.0pt;mso-wrap-distance-right:0.0pt;mso-wrap-distance-bottom:0.0pt;width:375.0pt;height:375.0pt;" stroked="false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/>
          </w:p>
        </w:tc>
      </w:tr>
    </w:tbl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 2019 года в институте функционирует студенческое конструкторское бюро, созданное с целью развития у студентов практических навыков создания информационных систем и эффективного применения информационных технологий в деятельности ТулГУ и других организаци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ях.</w: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Студенты института являются активными членами объединенного волонтерского центра ТулГУ (</w:t>
      </w:r>
      <w:hyperlink r:id="rId18" w:tooltip="https://vk.com/volunteers_tulgu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https://vk.com/volunteers_tulgu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), занимаются волонтерской деятельностью в том числе в сфере IT.</w:t>
      </w:r>
      <w:r/>
    </w:p>
    <w:p>
      <w:pPr>
        <w:ind w:left="0" w:right="0" w:firstLine="0"/>
        <w:jc w:val="center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476250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2762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62499" cy="476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75.0pt;height:375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Активно функционирует профбюро института (</w:t>
      </w:r>
      <w:hyperlink r:id="rId20" w:tooltip="https://vk.com/profburo_ipmkn_tsu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https://vk.com/profburo_ipmkn_tsu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), ежегодно их силами организуются и проводятся мероприятия для студентов вуза, такие как игра-викторина «Киномания» (</w:t>
      </w:r>
      <w:hyperlink r:id="rId21" w:tooltip="https://vk.com/movie_quiz_tulgu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https://vk.com/movie_quiz_tulgu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), ролевая игра «Крокодил» и «Аллигатор 2.0» (</w:t>
      </w:r>
      <w:hyperlink r:id="rId22" w:tooltip="https://vk.com/krocodil_v_tulgu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https://vk.com/krocodil_v_tulgu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 , игра «Угадай мелодию» (</w:t>
      </w:r>
      <w:hyperlink r:id="rId23" w:tooltip="https://vk.com/movie_quiz_tulgu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https://vk.com/movie_quiz_tulgu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), квест для первокурсников института «#ТыжПрограммист». Специально для школьников проводится образовательно-развлекательный квест «М&amp;К» (</w:t>
      </w:r>
      <w:hyperlink r:id="rId24" w:tooltip="https://vk.com/mk.ipmkn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https://vk.com/mk.ipmkn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).</w:t>
      </w:r>
      <w:r/>
    </w:p>
    <w:p>
      <w:pPr>
        <w:ind w:left="0" w:right="0" w:firstLine="0"/>
        <w:jc w:val="center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476250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2002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762499" cy="476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5.0pt;height:375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Студенты института активно участвуют в организации не только вузовских мероприятий. В рамках VIII Всероссийского Фестиваля науки «Наука 0+» в городе Тула проведен хакатонTulaHack-Junior.Институт активно сотрудничает с флагманским проектов «Россия - страна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возможностей» Всероссийским конкурсом для IT-специалистов, дизайнеров и управленцев в сфере цифровой экономики «Цифровой прорыв» (</w:t>
      </w:r>
      <w:hyperlink r:id="rId26" w:tooltip="https://leadersofdigital.ru/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https://leadersofdigital.ru/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): студенты института являются амбассадорами конкурса, участвуют в модерации защит, а также организуют работу IT-хаба в Туле. В 2021 году команда организаторов института выиграла лицензию от команды ВКонтакте на проведение отборочного этапа Всероссийского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IT-марафона «Вездекод» (</w:t>
      </w:r>
      <w:hyperlink r:id="rId27" w:tooltip="https://vk.com/vezdekod" w:history="1">
        <w:r>
          <w:rPr>
            <w:rStyle w:val="79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https://vk.com/vezdekod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).</w:t>
      </w:r>
      <w:r/>
    </w:p>
    <w:tbl>
      <w:tblPr>
        <w:tblStyle w:val="666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3119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10000" cy="3810000"/>
                      <wp:effectExtent l="0" t="0" r="0" b="0"/>
                      <wp:docPr id="8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37475631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09999" cy="3809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mso-wrap-distance-left:0.0pt;mso-wrap-distance-top:0.0pt;mso-wrap-distance-right:0.0pt;mso-wrap-distance-bottom:0.0pt;width:300.0pt;height:300.0pt;" stroked="false">
                      <v:path textboxrect="0,0,0,0"/>
                      <v:imagedata r:id="rId28" o:title=""/>
                    </v:shape>
                  </w:pict>
                </mc:Fallback>
              </mc:AlternateContent>
            </w:r>
            <w:r/>
          </w:p>
        </w:tc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10000" cy="3810000"/>
                      <wp:effectExtent l="0" t="0" r="0" b="0"/>
                      <wp:docPr id="9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2060569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09999" cy="3809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mso-wrap-distance-left:0.0pt;mso-wrap-distance-top:0.0pt;mso-wrap-distance-right:0.0pt;mso-wrap-distance-bottom:0.0pt;width:300.0pt;height:300.0pt;" stroked="false">
                      <v:path textboxrect="0,0,0,0"/>
                      <v:imagedata r:id="rId29" o:title=""/>
                    </v:shape>
                  </w:pict>
                </mc:Fallback>
              </mc:AlternateContent>
            </w:r>
            <w:r/>
          </w:p>
        </w:tc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45" w:type="dxa"/>
              <w:top w:w="45" w:type="dxa"/>
              <w:right w:w="45" w:type="dxa"/>
              <w:bottom w:w="45" w:type="dxa"/>
            </w:tcMar>
            <w:tcW w:w="3118" w:type="dxa"/>
            <w:vAlign w:val="center"/>
            <w:textDirection w:val="lrTb"/>
            <w:noWrap w:val="false"/>
          </w:tcPr>
          <w:p>
            <w:pPr>
              <w:jc w:val="center"/>
              <w:spacing w:before="0" w:after="0" w:line="57" w:lineRule="atLeast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10000" cy="3810000"/>
                      <wp:effectExtent l="0" t="0" r="0" b="0"/>
                      <wp:docPr id="10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45275443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09999" cy="3809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mso-wrap-distance-left:0.0pt;mso-wrap-distance-top:0.0pt;mso-wrap-distance-right:0.0pt;mso-wrap-distance-bottom:0.0pt;width:300.0pt;height:300.0pt;" stroked="false">
                      <v:path textboxrect="0,0,0,0"/>
                      <v:imagedata r:id="rId30" o:title=""/>
                    </v:shape>
                  </w:pict>
                </mc:Fallback>
              </mc:AlternateContent>
            </w:r>
            <w:r/>
          </w:p>
        </w:tc>
      </w:tr>
    </w:tbl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300"/>
        <w:jc w:val="both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Студенты института получают повышенные государственные академические стипендии за достижения в общественной, спортивной, культурно-массовой сферах; стипендии Правительства и Президента РФ, в частности для обучающиеся на направлениях подготовки, соответству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ющим приоритетным направлениям модернизации и технологического развития российской экономики.</w:t>
      </w:r>
      <w:r/>
    </w:p>
    <w:p>
      <w:pPr>
        <w:ind w:left="0" w:right="0" w:firstLine="850"/>
        <w:jc w:val="both"/>
        <w:spacing w:line="360" w:lineRule="auto"/>
        <w:rPr>
          <w:rFonts w:ascii="Arial" w:hAnsi="Arial" w:cs="Arial" w:eastAsia="Arial"/>
          <w:highlight w:val="none"/>
        </w:rPr>
      </w:pPr>
      <w:r>
        <w:rPr>
          <w:rFonts w:ascii="Arial" w:hAnsi="Arial" w:cs="Arial" w:eastAsia="Arial"/>
          <w:highlight w:val="none"/>
        </w:rPr>
      </w:r>
      <w:r>
        <w:rPr>
          <w:rFonts w:ascii="Arial" w:hAnsi="Arial" w:cs="Arial" w:eastAsia="Arial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0" w:bottom="1134" w:left="567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hyperlink" Target="https://vk.com/tsu.tula.icpc" TargetMode="External"/><Relationship Id="rId13" Type="http://schemas.openxmlformats.org/officeDocument/2006/relationships/hyperlink" Target="https://vk.com/acm_ipmkn" TargetMode="External"/><Relationship Id="rId14" Type="http://schemas.openxmlformats.org/officeDocument/2006/relationships/hyperlink" Target="https://icpc.global/" TargetMode="External"/><Relationship Id="rId15" Type="http://schemas.openxmlformats.org/officeDocument/2006/relationships/hyperlink" Target="https://vk.com/tulahack" TargetMode="External"/><Relationship Id="rId16" Type="http://schemas.openxmlformats.org/officeDocument/2006/relationships/image" Target="media/image4.jpg"/><Relationship Id="rId17" Type="http://schemas.openxmlformats.org/officeDocument/2006/relationships/image" Target="media/image5.jpg"/><Relationship Id="rId18" Type="http://schemas.openxmlformats.org/officeDocument/2006/relationships/hyperlink" Target="https://vk.com/volunteers_tulgu" TargetMode="External"/><Relationship Id="rId19" Type="http://schemas.openxmlformats.org/officeDocument/2006/relationships/image" Target="media/image6.jpg"/><Relationship Id="rId20" Type="http://schemas.openxmlformats.org/officeDocument/2006/relationships/hyperlink" Target="https://vk.com/profburo_ipmkn_tsu" TargetMode="External"/><Relationship Id="rId21" Type="http://schemas.openxmlformats.org/officeDocument/2006/relationships/hyperlink" Target="https://vk.com/movie_quiz_tulgu" TargetMode="External"/><Relationship Id="rId22" Type="http://schemas.openxmlformats.org/officeDocument/2006/relationships/hyperlink" Target="https://vk.com/krocodil_v_tulgu" TargetMode="External"/><Relationship Id="rId23" Type="http://schemas.openxmlformats.org/officeDocument/2006/relationships/hyperlink" Target="https://vk.com/movie_quiz_tulgu" TargetMode="External"/><Relationship Id="rId24" Type="http://schemas.openxmlformats.org/officeDocument/2006/relationships/hyperlink" Target="https://vk.com/mk.ipmkn" TargetMode="External"/><Relationship Id="rId25" Type="http://schemas.openxmlformats.org/officeDocument/2006/relationships/image" Target="media/image7.png"/><Relationship Id="rId26" Type="http://schemas.openxmlformats.org/officeDocument/2006/relationships/hyperlink" Target="https://leadersofdigital.ru/" TargetMode="External"/><Relationship Id="rId27" Type="http://schemas.openxmlformats.org/officeDocument/2006/relationships/hyperlink" Target="https://vk.com/vezdekod" TargetMode="External"/><Relationship Id="rId28" Type="http://schemas.openxmlformats.org/officeDocument/2006/relationships/image" Target="media/image8.png"/><Relationship Id="rId29" Type="http://schemas.openxmlformats.org/officeDocument/2006/relationships/image" Target="media/image9.jpg"/><Relationship Id="rId30" Type="http://schemas.openxmlformats.org/officeDocument/2006/relationships/image" Target="media/image10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2022-04-20T17:09:52Z</dcterms:modified>
</cp:coreProperties>
</file>