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spacing w:before="58" w:line="178" w:lineRule="auto"/>
        <w:ind w:left="12"/>
        <w:jc w:val="right"/>
        <w:outlineLvl w:val="0"/>
      </w:pPr>
      <w:bookmarkStart w:id="0" w:name="_GoBack"/>
      <w:bookmarkEnd w:id="0"/>
      <w:r>
        <w:rPr>
          <w:b/>
          <w:bCs/>
          <w:color w:val="333333"/>
          <w:spacing w:val="-2"/>
          <w:sz w:val="31"/>
          <w:szCs w:val="31"/>
        </w:rPr>
        <w:t>风险节点专项分析报告</w:t>
      </w:r>
    </w:p>
    <w:p>
      <w:pPr>
        <w:spacing w:before="219" w:line="32" w:lineRule="exact"/>
      </w:pPr>
      <w:r>
        <w:drawing>
          <wp:inline distT="0" distB="0" distL="0" distR="0">
            <wp:extent cx="6601460" cy="19685"/>
            <wp:effectExtent l="0" t="0" r="0" b="0"/>
            <wp:docPr id="1001" name="IM 2"/>
            <wp:cNvGraphicFramePr/>
            <a:graphic xmlns:a="http://schemas.openxmlformats.org/drawingml/2006/main">
              <a:graphicData uri="http://schemas.openxmlformats.org/drawingml/2006/picture">
                <pic:pic xmlns:pic="http://schemas.openxmlformats.org/drawingml/2006/picture">
                  <pic:nvPicPr>
                    <pic:cNvPr id="1001" name="IM 2"/>
                    <pic:cNvPicPr/>
                  </pic:nvPicPr>
                  <pic:blipFill>
                    <a:blip r:embed="rId6"/>
                    <a:stretch>
                      <a:fillRect/>
                    </a:stretch>
                  </pic:blipFill>
                  <pic:spPr>
                    <a:xfrm>
                      <a:off x="0" y="0"/>
                      <a:ext cx="6601536" cy="20277"/>
                    </a:xfrm>
                    <a:prstGeom prst="rect">
                      <a:avLst/>
                    </a:prstGeom>
                  </pic:spPr>
                </pic:pic>
              </a:graphicData>
            </a:graphic>
          </wp:inline>
        </w:drawing>
      </w:r>
    </w:p>
    <w:p>
      <w:pPr>
        <w:pStyle w:val="20"/>
        <w:widowControl w:val="0"/>
        <w:suppressLineNumbers w:val="0"/>
        <w:spacing w:before="311" w:line="183" w:lineRule="auto"/>
        <w:ind w:left="11"/>
        <w:contextualSpacing w:val="0"/>
        <w:jc w:val="left"/>
        <w:outlineLvl w:val="1"/>
      </w:pPr>
      <w:r>
        <w:rPr>
          <w:b/>
          <w:bCs/>
          <w:color w:val="333333"/>
          <w:spacing w:val="4"/>
          <w:sz w:val="25"/>
          <w:szCs w:val="25"/>
        </w:rPr>
        <w:t>一、概述</w:t>
      </w:r>
    </w:p>
    <w:p>
      <w:pPr>
        <w:pStyle w:val="20"/>
        <w:suppressLineNumbers w:val="0"/>
        <w:spacing w:before="0" w:after="0" w:line="334" w:lineRule="auto"/>
        <w:ind w:left="0" w:right="0" w:firstLine="420"/>
        <w:contextualSpacing w:val="0"/>
        <w:jc w:val="left"/>
        <w:rPr>
          <w:rFonts w:hint="default"/>
          <w:lang w:val="en-US"/>
        </w:rPr>
      </w:pPr>
      <w:r>
        <w:rPr>
          <w:color w:val="333333"/>
          <w:spacing w:val="5"/>
        </w:rPr>
        <w:t>本报告聚焦于两个风险子图模式中的关键风险节点，通过系统解析其潜在风险，揭示了风险传导机制及其隐蔽性特征。风险子图模式1采用混合型拓扑结构，表明节点之间存在多种关联关系，包括收单机构、商户发展方、省、县等维度的连接，显示出复杂且缺乏明显中心节点或闭环结构的网络特征。风险子图模式2则呈现星型拓扑结构，应用节点1作为枢纽，与其他节点紧密相连，反映出高度的地域集中性和一致性。通过分析关键属性维度，包括商户集中度、统一控制、支持双币卡、商户状态等，我们构建了风险矩阵，揭示了规避监管手段的多样性。风险矩阵显示，关键风险指标涉及中层管理和集中控制，增加了系统性风险的可能性。基于此，我们对风险节点进行了评级，并提出了相应的管控建议，包括建立冗余机制与实时监控、加强访问控制和安全审计、定期进行安全漏洞扫描和风险评估，以及优化防火墙机制和实施动态压力测试方案，确保系统的稳定性和安全性。</w:t>
      </w:r>
    </w:p>
    <w:p>
      <w:pPr>
        <w:widowControl w:val="0"/>
        <w:suppressLineNumbers w:val="0"/>
        <w:spacing w:before="223" w:line="32" w:lineRule="exact"/>
        <w:contextualSpacing w:val="0"/>
        <w:jc w:val="left"/>
      </w:pPr>
      <w:r>
        <w:drawing>
          <wp:inline distT="0" distB="0" distL="0" distR="0">
            <wp:extent cx="6601460" cy="19685"/>
            <wp:effectExtent l="0" t="0" r="0" b="0"/>
            <wp:docPr id="1002" name="IM 28"/>
            <wp:cNvGraphicFramePr/>
            <a:graphic xmlns:a="http://schemas.openxmlformats.org/drawingml/2006/main">
              <a:graphicData uri="http://schemas.openxmlformats.org/drawingml/2006/picture">
                <pic:pic xmlns:pic="http://schemas.openxmlformats.org/drawingml/2006/picture">
                  <pic:nvPicPr>
                    <pic:cNvPr id="1002" name="IM 28"/>
                    <pic:cNvPicPr/>
                  </pic:nvPicPr>
                  <pic:blipFill>
                    <a:blip r:embed="rId6"/>
                    <a:stretch>
                      <a:fillRect/>
                    </a:stretch>
                  </pic:blipFill>
                  <pic:spPr>
                    <a:xfrm>
                      <a:off x="0" y="0"/>
                      <a:ext cx="6601536" cy="20277"/>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二、风险子图模式规则信息</w:t>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1. 风险子图规则图片描述</w:t>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drawing>
          <wp:inline distT="0" distB="0" distL="0" distR="0">
            <wp:extent cx="2552700" cy="2657475"/>
            <wp:effectExtent l="0" t="0" r="0" b="0"/>
            <wp:docPr id="10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图片 3"/>
                    <pic:cNvPicPr>
                      <a:picLocks noChangeAspect="1"/>
                    </pic:cNvPicPr>
                  </pic:nvPicPr>
                  <pic:blipFill>
                    <a:blip r:embed="rId7"/>
                    <a:stretch>
                      <a:fillRect/>
                    </a:stretch>
                  </pic:blipFill>
                  <pic:spPr>
                    <a:xfrm>
                      <a:off x="0" y="0"/>
                      <a:ext cx="2552698" cy="2657473"/>
                    </a:xfrm>
                    <a:prstGeom prst="rect">
                      <a:avLst/>
                    </a:prstGeom>
                  </pic:spPr>
                </pic:pic>
              </a:graphicData>
            </a:graphic>
          </wp:inline>
        </w:drawing>
      </w:r>
      <w:r>
        <w:rPr>
          <w:rFonts w:ascii="Microsoft JhengHei" w:hAnsi="Microsoft JhengHei" w:eastAsia="Microsoft JhengHei" w:cs="Microsoft JhengHei"/>
          <w:b/>
          <w:color w:val="333333"/>
          <w:spacing w:val="8"/>
          <w:sz w:val="25"/>
        </w:rPr>
        <w:t>     </w:t>
      </w:r>
      <w:r>
        <w:rPr>
          <w:rFonts w:ascii="Microsoft JhengHei" w:hAnsi="Microsoft JhengHei" w:eastAsia="Microsoft JhengHei" w:cs="Microsoft JhengHei"/>
          <w:b/>
          <w:color w:val="333333"/>
          <w:spacing w:val="8"/>
          <w:sz w:val="25"/>
        </w:rPr>
        <w:drawing>
          <wp:inline distT="0" distB="0" distL="0" distR="0">
            <wp:extent cx="2552700" cy="2657475"/>
            <wp:effectExtent l="0" t="0" r="0" b="0"/>
            <wp:docPr id="10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图片 4"/>
                    <pic:cNvPicPr>
                      <a:picLocks noChangeAspect="1"/>
                    </pic:cNvPicPr>
                  </pic:nvPicPr>
                  <pic:blipFill>
                    <a:blip r:embed="rId8"/>
                    <a:stretch>
                      <a:fillRect/>
                    </a:stretch>
                  </pic:blipFill>
                  <pic:spPr>
                    <a:xfrm>
                      <a:off x="0" y="0"/>
                      <a:ext cx="2552698" cy="2657473"/>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2. 商户节点互联可视化展示</w:t>
      </w:r>
    </w:p>
    <w:p>
      <w:pPr>
        <w:pBdr>
          <w:top w:val="none" w:color="000000" w:sz="0" w:space="0"/>
          <w:left w:val="none" w:color="000000" w:sz="0" w:space="0"/>
          <w:bottom w:val="none" w:color="000000" w:sz="0" w:space="0"/>
          <w:right w:val="none" w:color="000000" w:sz="0" w:space="0"/>
        </w:pBdr>
        <w:spacing w:before="310" w:after="200" w:line="250" w:lineRule="atLeast"/>
        <w:ind w:left="11" w:right="0" w:firstLine="0"/>
      </w:pPr>
      <w:r>
        <w:rPr>
          <w:rFonts w:ascii="Microsoft JhengHei" w:hAnsi="Microsoft JhengHei" w:eastAsia="Microsoft JhengHei" w:cs="Microsoft JhengHei"/>
          <w:b/>
          <w:color w:val="333333"/>
          <w:spacing w:val="8"/>
          <w:sz w:val="25"/>
        </w:rPr>
        <w:t>     </w:t>
      </w:r>
      <w:r>
        <w:rPr>
          <w:rFonts w:ascii="Microsoft JhengHei" w:hAnsi="Microsoft JhengHei" w:eastAsia="Microsoft JhengHei" w:cs="Microsoft JhengHei"/>
          <w:b/>
          <w:color w:val="333333"/>
          <w:spacing w:val="8"/>
          <w:sz w:val="25"/>
        </w:rPr>
        <w:drawing>
          <wp:inline distT="0" distB="0" distL="0" distR="0">
            <wp:extent cx="5448300" cy="3295650"/>
            <wp:effectExtent l="0" t="0" r="0" b="0"/>
            <wp:docPr id="10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图片 5"/>
                    <pic:cNvPicPr>
                      <a:picLocks noChangeAspect="1"/>
                    </pic:cNvPicPr>
                  </pic:nvPicPr>
                  <pic:blipFill>
                    <a:blip r:embed="rId9"/>
                    <a:stretch>
                      <a:fillRect/>
                    </a:stretch>
                  </pic:blipFill>
                  <pic:spPr>
                    <a:xfrm>
                      <a:off x="0" y="0"/>
                      <a:ext cx="5448298" cy="3295648"/>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pBdr>
        <w:spacing w:before="310" w:after="200" w:line="250" w:lineRule="atLeast"/>
        <w:ind w:left="0" w:right="0" w:firstLine="0"/>
      </w:pPr>
      <w:r>
        <w:rPr>
          <w:rFonts w:ascii="Microsoft JhengHei" w:hAnsi="Microsoft JhengHei" w:eastAsia="Microsoft JhengHei" w:cs="Microsoft JhengHei"/>
          <w:b/>
          <w:color w:val="333333"/>
          <w:spacing w:val="8"/>
          <w:sz w:val="25"/>
        </w:rPr>
        <w:t> </w:t>
      </w:r>
    </w:p>
    <w:p>
      <w:pPr>
        <w:widowControl w:val="0"/>
        <w:suppressLineNumbers w:val="0"/>
        <w:spacing w:before="310" w:line="192" w:lineRule="auto"/>
        <w:ind w:left="11"/>
        <w:contextualSpacing w:val="0"/>
        <w:jc w:val="left"/>
        <w:outlineLvl w:val="1"/>
      </w:pPr>
      <w:r>
        <w:rPr>
          <w:rFonts w:ascii="Microsoft JhengHei" w:hAnsi="Microsoft JhengHei" w:eastAsia="Microsoft JhengHei" w:cs="Microsoft JhengHei"/>
          <w:b/>
          <w:bCs/>
          <w:color w:val="333333"/>
          <w:spacing w:val="8"/>
          <w:sz w:val="25"/>
          <w:szCs w:val="25"/>
        </w:rPr>
        <w:t>三、风险子图模式解析：属性耦合与网络关联</w:t>
      </w:r>
    </w:p>
    <w:p>
      <w:pPr>
        <w:spacing w:before="207" w:line="192" w:lineRule="auto"/>
        <w:ind w:left="12"/>
        <w:outlineLvl w:val="2"/>
      </w:pPr>
      <w:r>
        <w:rPr>
          <w:rFonts w:ascii="Arial" w:hAnsi="Arial" w:eastAsia="Arial" w:cs="Arial"/>
          <w:b/>
          <w:bCs/>
          <w:color w:val="333333"/>
          <w:spacing w:val="6"/>
          <w:sz w:val="20"/>
          <w:szCs w:val="20"/>
        </w:rPr>
        <w:t xml:space="preserve">1. </w:t>
      </w:r>
      <w:r>
        <w:rPr>
          <w:rFonts w:ascii="Microsoft JhengHei" w:hAnsi="Microsoft JhengHei" w:eastAsia="Microsoft JhengHei" w:cs="Microsoft JhengHei"/>
          <w:b/>
          <w:bCs/>
          <w:color w:val="333333"/>
          <w:spacing w:val="6"/>
          <w:sz w:val="20"/>
          <w:szCs w:val="20"/>
        </w:rPr>
        <w:t>模式一：收单机构与地理属性的强关联</w:t>
      </w:r>
    </w:p>
    <w:p>
      <w:pPr>
        <w:pStyle w:val="20"/>
        <w:spacing w:before="236" w:line="187" w:lineRule="auto"/>
        <w:ind w:left="223"/>
      </w:pPr>
      <w:r>
        <w:rPr>
          <w:rFonts w:ascii="Microsoft JhengHei" w:hAnsi="Microsoft JhengHei" w:eastAsia="Microsoft JhengHei" w:cs="Microsoft JhengHei"/>
          <w:color w:val="333333"/>
          <w:position w:val="4"/>
        </w:rPr>
        <w:drawing>
          <wp:inline distT="0" distB="0" distL="0" distR="0">
            <wp:extent cx="50165" cy="50165"/>
            <wp:effectExtent l="0" t="0" r="0" b="0"/>
            <wp:docPr id="1006" name="IM 30"/>
            <wp:cNvGraphicFramePr/>
            <a:graphic xmlns:a="http://schemas.openxmlformats.org/drawingml/2006/main">
              <a:graphicData uri="http://schemas.openxmlformats.org/drawingml/2006/picture">
                <pic:pic xmlns:pic="http://schemas.openxmlformats.org/drawingml/2006/picture">
                  <pic:nvPicPr>
                    <pic:cNvPr id="1006" name="IM 30"/>
                    <pic:cNvPicPr/>
                  </pic:nvPicPr>
                  <pic:blipFill>
                    <a:blip r:embed="rId10"/>
                    <a:stretch>
                      <a:fillRect/>
                    </a:stretch>
                  </pic:blipFill>
                  <pic:spPr>
                    <a:xfrm>
                      <a:off x="0" y="0"/>
                      <a:ext cx="50701" cy="50700"/>
                    </a:xfrm>
                    <a:prstGeom prst="rect">
                      <a:avLst/>
                    </a:prstGeom>
                  </pic:spPr>
                </pic:pic>
              </a:graphicData>
            </a:graphic>
          </wp:inline>
        </w:drawing>
      </w:r>
      <w:r>
        <w:rPr>
          <w:rFonts w:ascii="Microsoft JhengHei" w:hAnsi="Microsoft JhengHei" w:eastAsia="Microsoft JhengHei" w:cs="Microsoft JhengHei"/>
          <w:b/>
          <w:bCs/>
          <w:color w:val="333333"/>
          <w:spacing w:val="10"/>
        </w:rPr>
        <w:t xml:space="preserve">   </w:t>
      </w:r>
      <w:r>
        <w:rPr>
          <w:rFonts w:ascii="Microsoft JhengHei" w:hAnsi="Microsoft JhengHei" w:eastAsia="Microsoft JhengHei" w:cs="Microsoft JhengHei"/>
          <w:b/>
          <w:bCs/>
          <w:color w:val="333333"/>
          <w:spacing w:val="6"/>
        </w:rPr>
        <w:t>拓扑结构</w:t>
      </w:r>
      <w:r>
        <w:rPr>
          <w:color w:val="333333"/>
          <w:spacing w:val="6"/>
        </w:rPr>
        <w:t>：</w:t>
      </w:r>
    </w:p>
    <w:p>
      <w:pPr>
        <w:pStyle w:val="20"/>
        <w:spacing w:before="0" w:after="0" w:line="334" w:lineRule="auto"/>
        <w:ind w:left="0" w:right="0" w:firstLine="420"/>
        <w:contextualSpacing w:val="0"/>
        <w:jc w:val="left"/>
        <w:rPr>
          <w:rFonts w:hint="default"/>
          <w:lang w:val="en-US"/>
        </w:rPr>
      </w:pPr>
      <w:r>
        <w:rPr>
          <w:color w:val="333333"/>
          <w:spacing w:val="5"/>
        </w:rPr>
        <w:t xml:space="preserve"> 星型拓扑结构，以应用节点1为枢纽辐射其他节点。理由：应用节点1与其他所有应用节点之间存在直接联系，且应用节点1与其他节点之间的关系较为紧密，涵盖了省、市、县等多个维度的属性相同，表明应用节点1在该风险子图中扮演着核心角色，其他节点围绕其分布。</w:t>
      </w:r>
    </w:p>
    <w:p>
      <w:pPr>
        <w:pStyle w:val="20"/>
        <w:spacing w:before="153" w:line="190" w:lineRule="auto"/>
        <w:ind w:left="223"/>
      </w:pPr>
      <w:r>
        <w:rPr>
          <w:rFonts w:ascii="Microsoft JhengHei" w:hAnsi="Microsoft JhengHei" w:eastAsia="Microsoft JhengHei" w:cs="Microsoft JhengHei"/>
          <w:color w:val="333333"/>
          <w:position w:val="3"/>
        </w:rPr>
        <w:drawing>
          <wp:inline distT="0" distB="0" distL="0" distR="0">
            <wp:extent cx="50165" cy="50165"/>
            <wp:effectExtent l="0" t="0" r="0" b="0"/>
            <wp:docPr id="1007" name="IM 32"/>
            <wp:cNvGraphicFramePr/>
            <a:graphic xmlns:a="http://schemas.openxmlformats.org/drawingml/2006/main">
              <a:graphicData uri="http://schemas.openxmlformats.org/drawingml/2006/picture">
                <pic:pic xmlns:pic="http://schemas.openxmlformats.org/drawingml/2006/picture">
                  <pic:nvPicPr>
                    <pic:cNvPr id="1007" name="IM 32"/>
                    <pic:cNvPicPr/>
                  </pic:nvPicPr>
                  <pic:blipFill>
                    <a:blip r:embed="rId11"/>
                    <a:stretch>
                      <a:fillRect/>
                    </a:stretch>
                  </pic:blipFill>
                  <pic:spPr>
                    <a:xfrm>
                      <a:off x="0" y="0"/>
                      <a:ext cx="50701" cy="50701"/>
                    </a:xfrm>
                    <a:prstGeom prst="rect">
                      <a:avLst/>
                    </a:prstGeom>
                  </pic:spPr>
                </pic:pic>
              </a:graphicData>
            </a:graphic>
          </wp:inline>
        </w:drawing>
      </w:r>
      <w:r>
        <w:rPr>
          <w:rFonts w:ascii="Microsoft JhengHei" w:hAnsi="Microsoft JhengHei" w:eastAsia="Microsoft JhengHei" w:cs="Microsoft JhengHei"/>
          <w:b/>
          <w:bCs/>
          <w:color w:val="333333"/>
          <w:spacing w:val="11"/>
        </w:rPr>
        <w:t xml:space="preserve">   </w:t>
      </w:r>
      <w:r>
        <w:rPr>
          <w:rFonts w:ascii="Microsoft JhengHei" w:hAnsi="Microsoft JhengHei" w:eastAsia="Microsoft JhengHei" w:cs="Microsoft JhengHei"/>
          <w:b/>
          <w:bCs/>
          <w:color w:val="333333"/>
          <w:spacing w:val="4"/>
        </w:rPr>
        <w:t>关键属性</w:t>
      </w:r>
      <w:r>
        <w:rPr>
          <w:color w:val="333333"/>
          <w:spacing w:val="4"/>
        </w:rPr>
        <w:t>：</w:t>
      </w:r>
    </w:p>
    <w:p>
      <w:pPr>
        <w:pStyle w:val="20"/>
        <w:spacing w:before="0" w:after="0" w:line="334" w:lineRule="auto"/>
        <w:ind w:left="0" w:right="0" w:firstLine="420"/>
        <w:contextualSpacing w:val="0"/>
        <w:jc w:val="left"/>
        <w:rPr>
          <w:rFonts w:hint="default"/>
          <w:lang w:val="en-US"/>
        </w:rPr>
      </w:pPr>
      <w:r>
        <w:rPr>
          <w:color w:val="333333"/>
          <w:spacing w:val="5"/>
        </w:rPr>
        <w:t>地域集中性与一致性。详细分析：在给定的模式中，观察到多个应用节点具有高度一致的属性特征，并且这些节点之间存在明显的地理集中性。具体表现为：</w:t>
      </w:r>
      <w:r>
        <w:rPr>
          <w:color w:val="333333"/>
          <w:spacing w:val="5"/>
        </w:rPr>
        <w:br w:type="textWrapping"/>
      </w:r>
      <w:r>
        <w:rPr>
          <w:color w:val="333333"/>
          <w:spacing w:val="5"/>
        </w:rPr>
        <w:t>1. 所有应用节点的商户状态均为'正常'，在线商户标志为'未知'，是否多收单机构为'否'，表明这些商户的状态和运营情况较为一致。</w:t>
      </w:r>
      <w:r>
        <w:rPr>
          <w:color w:val="333333"/>
          <w:spacing w:val="5"/>
        </w:rPr>
        <w:br w:type="textWrapping"/>
      </w:r>
      <w:r>
        <w:rPr>
          <w:color w:val="333333"/>
          <w:spacing w:val="5"/>
        </w:rPr>
        <w:t>2. 多数应用节点之间共享相同的省份（province）、城市（city）甚至县（county），这可能暗示着这些商户之间存在某种关联或控制。</w:t>
      </w:r>
      <w:r>
        <w:rPr>
          <w:color w:val="333333"/>
          <w:spacing w:val="5"/>
        </w:rPr>
        <w:br w:type="textWrapping"/>
      </w:r>
      <w:r>
        <w:rPr>
          <w:color w:val="333333"/>
          <w:spacing w:val="5"/>
        </w:rPr>
        <w:t>3. 第1个应用节点和第2个应用节点之间不仅省份相同，结算账户也相同，进一步增加了这种关联的可能性。</w:t>
      </w:r>
      <w:r>
        <w:rPr>
          <w:color w:val="333333"/>
          <w:spacing w:val="5"/>
        </w:rPr>
        <w:br w:type="textWrapping"/>
      </w:r>
      <w:r>
        <w:rPr>
          <w:color w:val="333333"/>
          <w:spacing w:val="5"/>
        </w:rPr>
        <w:br w:type="textWrapping"/>
      </w:r>
      <w:r>
        <w:rPr>
          <w:color w:val="333333"/>
          <w:spacing w:val="5"/>
        </w:rPr>
        <w:t>这种地域集中性与一致性可能表明存在统一控制或关联的实体，增加了潜在的风险。建议进一步调查这些商户之间的关系，以确认是否存在统一的管理或控制机制。</w:t>
      </w:r>
    </w:p>
    <w:p>
      <w:pPr>
        <w:pStyle w:val="20"/>
        <w:spacing w:before="140" w:line="192" w:lineRule="auto"/>
        <w:ind w:left="223"/>
      </w:pPr>
      <w:r>
        <w:rPr>
          <w:rFonts w:ascii="Microsoft JhengHei" w:hAnsi="Microsoft JhengHei" w:eastAsia="Microsoft JhengHei" w:cs="Microsoft JhengHei"/>
          <w:color w:val="333333"/>
          <w:position w:val="3"/>
        </w:rPr>
        <w:drawing>
          <wp:inline distT="0" distB="0" distL="0" distR="0">
            <wp:extent cx="50165" cy="50165"/>
            <wp:effectExtent l="0" t="0" r="0" b="0"/>
            <wp:docPr id="1008" name="IM 34"/>
            <wp:cNvGraphicFramePr/>
            <a:graphic xmlns:a="http://schemas.openxmlformats.org/drawingml/2006/main">
              <a:graphicData uri="http://schemas.openxmlformats.org/drawingml/2006/picture">
                <pic:pic xmlns:pic="http://schemas.openxmlformats.org/drawingml/2006/picture">
                  <pic:nvPicPr>
                    <pic:cNvPr id="1008" name="IM 34"/>
                    <pic:cNvPicPr/>
                  </pic:nvPicPr>
                  <pic:blipFill>
                    <a:blip r:embed="rId12"/>
                    <a:stretch>
                      <a:fillRect/>
                    </a:stretch>
                  </pic:blipFill>
                  <pic:spPr>
                    <a:xfrm>
                      <a:off x="0" y="0"/>
                      <a:ext cx="50701" cy="50701"/>
                    </a:xfrm>
                    <a:prstGeom prst="rect">
                      <a:avLst/>
                    </a:prstGeom>
                  </pic:spPr>
                </pic:pic>
              </a:graphicData>
            </a:graphic>
          </wp:inline>
        </w:drawing>
      </w:r>
      <w:r>
        <w:rPr>
          <w:rFonts w:ascii="Microsoft JhengHei" w:hAnsi="Microsoft JhengHei" w:eastAsia="Microsoft JhengHei" w:cs="Microsoft JhengHei"/>
          <w:b/>
          <w:bCs/>
          <w:color w:val="333333"/>
          <w:spacing w:val="11"/>
        </w:rPr>
        <w:t xml:space="preserve">   </w:t>
      </w:r>
      <w:r>
        <w:rPr>
          <w:rFonts w:ascii="Microsoft JhengHei" w:hAnsi="Microsoft JhengHei" w:eastAsia="Microsoft JhengHei" w:cs="Microsoft JhengHei"/>
          <w:b/>
          <w:bCs/>
          <w:color w:val="333333"/>
          <w:spacing w:val="3"/>
        </w:rPr>
        <w:t>风险特征</w:t>
      </w:r>
      <w:r>
        <w:rPr>
          <w:color w:val="333333"/>
          <w:spacing w:val="3"/>
        </w:rPr>
        <w:t>：</w:t>
      </w:r>
    </w:p>
    <w:p>
      <w:pPr>
        <w:pStyle w:val="20"/>
        <w:spacing w:before="0" w:after="0" w:line="334" w:lineRule="auto"/>
        <w:ind w:left="0" w:right="0" w:firstLine="420"/>
        <w:contextualSpacing w:val="0"/>
        <w:jc w:val="left"/>
        <w:rPr>
          <w:rFonts w:hint="default"/>
          <w:lang w:val="en-US"/>
        </w:rPr>
      </w:pPr>
      <w:r>
        <w:rPr>
          <w:color w:val="333333"/>
          <w:spacing w:val="5"/>
        </w:rPr>
        <w:t>该地区中等与极端状态表明，大量用户暴露在较高程度的单一风险中，且这些用户之间存在明显的地域集中现象。分析显示，所有用户的设备状态均为正常，但在用户标签显示为未知的情况下，部分用户可能涉及单一架构。第一和第二使用点之间的省份不同，但城市级别相同，增加了该类风险的可能性，表明这些用户可能处于同一风险子图中，中心点为灰色。建议优化防火墙机制，确保所有使用点之间的直接连接，并增加与实际监控和实时压力测试相结合的防护策略，确保系统在高并发情况下能够稳定运行。同时，加强用户行为分析，逐步规范操作，提高系统的安全性。</w:t>
      </w:r>
    </w:p>
    <w:p>
      <w:pPr>
        <w:pStyle w:val="20"/>
        <w:spacing w:before="140" w:line="192" w:lineRule="auto"/>
        <w:ind w:left="223"/>
      </w:pPr>
      <w:r>
        <w:rPr>
          <w:color w:val="333333"/>
          <w:position w:val="3"/>
        </w:rPr>
        <w:drawing>
          <wp:inline distT="0" distB="0" distL="0" distR="0">
            <wp:extent cx="50165" cy="50165"/>
            <wp:effectExtent l="0" t="0" r="0" b="0"/>
            <wp:docPr id="1009" name="IM 40"/>
            <wp:cNvGraphicFramePr/>
            <a:graphic xmlns:a="http://schemas.openxmlformats.org/drawingml/2006/main">
              <a:graphicData uri="http://schemas.openxmlformats.org/drawingml/2006/picture">
                <pic:pic xmlns:pic="http://schemas.openxmlformats.org/drawingml/2006/picture">
                  <pic:nvPicPr>
                    <pic:cNvPr id="1009" name="IM 40"/>
                    <pic:cNvPicPr/>
                  </pic:nvPicPr>
                  <pic:blipFill>
                    <a:blip r:embed="rId13"/>
                    <a:stretch>
                      <a:fillRect/>
                    </a:stretch>
                  </pic:blipFill>
                  <pic:spPr>
                    <a:xfrm>
                      <a:off x="0" y="0"/>
                      <a:ext cx="50700" cy="50700"/>
                    </a:xfrm>
                    <a:prstGeom prst="rect">
                      <a:avLst/>
                    </a:prstGeom>
                  </pic:spPr>
                </pic:pic>
              </a:graphicData>
            </a:graphic>
          </wp:inline>
        </w:drawing>
      </w:r>
      <w:r>
        <w:rPr>
          <w:rFonts w:ascii="Microsoft JhengHei" w:hAnsi="Microsoft JhengHei" w:eastAsia="Microsoft JhengHei" w:cs="Microsoft JhengHei"/>
          <w:b/>
          <w:bCs/>
          <w:color w:val="333333"/>
          <w:spacing w:val="3"/>
        </w:rPr>
        <w:t xml:space="preserve">   风险评级</w:t>
      </w:r>
      <w:r>
        <w:rPr>
          <w:color w:val="333333"/>
          <w:spacing w:val="3"/>
        </w:rPr>
        <w:t>：</w:t>
      </w:r>
    </w:p>
    <w:p>
      <w:pPr>
        <w:pStyle w:val="20"/>
        <w:spacing w:before="0" w:after="0" w:line="334" w:lineRule="auto"/>
        <w:ind w:left="0" w:right="0" w:firstLine="420"/>
        <w:contextualSpacing w:val="0"/>
        <w:jc w:val="left"/>
        <w:rPr>
          <w:rFonts w:hint="default"/>
          <w:lang w:val="en-US"/>
        </w:rPr>
      </w:pPr>
      <w:r>
        <w:rPr>
          <w:color w:val="333333"/>
          <w:spacing w:val="5"/>
        </w:rPr>
        <w:t>中风险节点（评级B）。管控建议：建议建立冗余机制与实时监控，并实施动态压力测试方案，确保系统在高并发情况下仍能稳定运行。同时，加强用户行为分析，识别异常操作，提高系统的安全性。</w:t>
      </w:r>
    </w:p>
    <w:p>
      <w:pPr>
        <w:pStyle w:val="20"/>
        <w:spacing w:before="240" w:line="230" w:lineRule="auto"/>
        <w:ind w:left="0" w:right="43" w:firstLine="0"/>
        <w:jc w:val="both"/>
      </w:pPr>
    </w:p>
    <w:p>
      <w:pPr>
        <w:pStyle w:val="20"/>
        <w:spacing w:before="78" w:line="333" w:lineRule="auto"/>
        <w:ind w:left="7" w:right="421" w:firstLine="687"/>
      </w:pPr>
      <w:r>
        <w:rPr>
          <w:color w:val="333333"/>
        </w:rPr>
        <w:t xml:space="preserve"> </w:t>
      </w:r>
      <w:r>
        <w:rPr>
          <w:rFonts w:ascii="Microsoft JhengHei" w:hAnsi="Microsoft JhengHei" w:eastAsia="Microsoft JhengHei" w:cs="Microsoft JhengHei"/>
          <w:b/>
          <w:bCs/>
          <w:color w:val="333333"/>
          <w:spacing w:val="6"/>
        </w:rPr>
        <w:t>属性风险矩阵</w:t>
      </w:r>
    </w:p>
    <w:tbl>
      <w:tblPr>
        <w:tblStyle w:val="308"/>
        <w:tblW w:w="8830" w:type="dxa"/>
        <w:tblInd w:w="7" w:type="dxa"/>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
      <w:tblGrid>
        <w:gridCol w:w="2639"/>
        <w:gridCol w:w="1874"/>
        <w:gridCol w:w="1602"/>
        <w:gridCol w:w="2715"/>
      </w:tblGrid>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16" w:hRule="atLeast"/>
          <w:hidden/>
        </w:trPr>
        <w:tc>
          <w:tcPr>
            <w:tcW w:w="2639" w:type="dxa"/>
            <w:vMerge w:val="restart"/>
            <w:shd w:val="clear" w:color="FFFFFF" w:fill="F8F8F8"/>
            <w:noWrap w:val="0"/>
            <w:vAlign w:val="top"/>
          </w:tcPr>
          <w:p>
            <w:pPr>
              <w:pStyle w:val="307"/>
              <w:spacing w:before="161" w:line="183" w:lineRule="auto"/>
              <w:ind w:left="216"/>
              <w:rPr>
                <w:rFonts w:hint="default"/>
                <w:b w:val="0"/>
                <w:bCs w:val="0"/>
                <w:i w:val="0"/>
                <w:iCs w:val="0"/>
                <w:caps w:val="0"/>
                <w:smallCaps w:val="0"/>
                <w:strike w:val="0"/>
                <w:vanish w:val="0"/>
              </w:rPr>
            </w:pPr>
            <w:r>
              <w:rPr>
                <w:rFonts w:hint="default"/>
                <w:b/>
                <w:bCs/>
                <w:i w:val="0"/>
                <w:iCs w:val="0"/>
                <w:caps w:val="0"/>
                <w:smallCaps w:val="0"/>
                <w:strike w:val="0"/>
                <w:vanish w:val="0"/>
                <w:color w:val="333333"/>
                <w:spacing w:val="5"/>
              </w:rPr>
              <w:t>属性维度</w:t>
            </w:r>
          </w:p>
        </w:tc>
        <w:tc>
          <w:tcPr>
            <w:tcW w:w="1874" w:type="dxa"/>
            <w:vMerge w:val="restart"/>
            <w:shd w:val="clear" w:color="FFFFFF" w:fill="F8F8F8"/>
            <w:noWrap w:val="0"/>
            <w:vAlign w:val="top"/>
          </w:tcPr>
          <w:p>
            <w:pPr>
              <w:pStyle w:val="307"/>
              <w:spacing w:before="161" w:line="182" w:lineRule="auto"/>
              <w:ind w:left="209"/>
              <w:rPr>
                <w:rFonts w:hint="default"/>
                <w:b w:val="0"/>
                <w:bCs w:val="0"/>
                <w:i w:val="0"/>
                <w:iCs w:val="0"/>
                <w:caps w:val="0"/>
                <w:smallCaps w:val="0"/>
                <w:strike w:val="0"/>
                <w:vanish w:val="0"/>
              </w:rPr>
            </w:pPr>
            <w:r>
              <w:rPr>
                <w:rFonts w:hint="default"/>
                <w:b/>
                <w:bCs/>
                <w:i w:val="0"/>
                <w:iCs w:val="0"/>
                <w:caps w:val="0"/>
                <w:smallCaps w:val="0"/>
                <w:strike w:val="0"/>
                <w:vanish w:val="0"/>
                <w:color w:val="333333"/>
                <w:spacing w:val="4"/>
              </w:rPr>
              <w:t>风险节点值</w:t>
            </w:r>
          </w:p>
        </w:tc>
        <w:tc>
          <w:tcPr>
            <w:tcW w:w="1602" w:type="dxa"/>
            <w:vMerge w:val="restart"/>
            <w:shd w:val="clear" w:color="FFFFFF" w:fill="F8F8F8"/>
            <w:noWrap w:val="0"/>
            <w:vAlign w:val="top"/>
          </w:tcPr>
          <w:p>
            <w:pPr>
              <w:pStyle w:val="307"/>
              <w:spacing w:before="161" w:line="183" w:lineRule="auto"/>
              <w:ind w:left="221"/>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同质化率</w:t>
            </w:r>
          </w:p>
        </w:tc>
        <w:tc>
          <w:tcPr>
            <w:tcW w:w="2715" w:type="dxa"/>
            <w:vMerge w:val="restart"/>
            <w:shd w:val="clear" w:color="FFFFFF" w:fill="F8F8F8"/>
            <w:noWrap w:val="0"/>
            <w:vAlign w:val="top"/>
          </w:tcPr>
          <w:p>
            <w:pPr>
              <w:pStyle w:val="307"/>
              <w:spacing w:before="163" w:line="181" w:lineRule="auto"/>
              <w:ind w:left="220"/>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规避监管手段分析</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是否支持双币卡</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占比75%</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可能存在利用双币卡规避特定监管措施的风险</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商户状态</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正常</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正常状态的商户可能更难被识别为高风险对象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在线商户标志</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未知状态可能被用于规避监管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是否多收单机构</w:t>
            </w:r>
          </w:p>
        </w:tc>
        <w:tc>
          <w:tcPr>
            <w:tcW w:w="1874"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否</w:t>
            </w:r>
          </w:p>
        </w:tc>
        <w:tc>
          <w:tcPr>
            <w:tcW w:w="1602"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715"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单一收单机构可能被利用来规避多机构监管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639"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最后客户等级</w:t>
            </w:r>
          </w:p>
        </w:tc>
        <w:tc>
          <w:tcPr>
            <w:tcW w:w="1874"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普通/试用</w:t>
            </w:r>
          </w:p>
        </w:tc>
        <w:tc>
          <w:tcPr>
            <w:tcW w:w="1602"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占比50%</w:t>
            </w:r>
          </w:p>
        </w:tc>
        <w:tc>
          <w:tcPr>
            <w:tcW w:w="2715"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普通和试用等级的客户可能被用于测试或规避监管</w:t>
            </w:r>
          </w:p>
        </w:tc>
      </w:tr>
    </w:tbl>
    <w:p>
      <w:pPr>
        <w:pStyle w:val="20"/>
        <w:spacing w:before="0" w:after="0" w:line="240" w:lineRule="auto"/>
        <w:ind w:left="7"/>
        <w:outlineLvl w:val="2"/>
        <w:rPr>
          <w:rFonts w:ascii="Arial" w:hAnsi="Arial" w:eastAsia="Arial" w:cs="Arial"/>
          <w:b/>
          <w:bCs/>
          <w:color w:val="333333"/>
          <w:spacing w:val="6"/>
          <w:sz w:val="2"/>
        </w:rPr>
      </w:pPr>
    </w:p>
    <w:p>
      <w:pPr>
        <w:pStyle w:val="20"/>
        <w:spacing w:before="296" w:line="183" w:lineRule="auto"/>
        <w:ind w:left="7"/>
        <w:outlineLvl w:val="2"/>
      </w:pPr>
      <w:r>
        <w:rPr>
          <w:rFonts w:ascii="Arial" w:hAnsi="Arial" w:eastAsia="Arial" w:cs="Arial"/>
          <w:b/>
          <w:bCs/>
          <w:color w:val="333333"/>
          <w:spacing w:val="6"/>
        </w:rPr>
        <w:t xml:space="preserve">2. </w:t>
      </w:r>
      <w:r>
        <w:rPr>
          <w:b/>
          <w:bCs/>
          <w:color w:val="333333"/>
          <w:spacing w:val="6"/>
        </w:rPr>
        <w:t>模式二：法人资质与服务等级异常</w:t>
      </w:r>
    </w:p>
    <w:p>
      <w:pPr>
        <w:pStyle w:val="20"/>
        <w:spacing w:before="249" w:line="190" w:lineRule="auto"/>
        <w:ind w:left="223"/>
      </w:pPr>
      <w:r>
        <w:rPr>
          <w:color w:val="333333"/>
          <w:position w:val="3"/>
        </w:rPr>
        <w:drawing>
          <wp:inline distT="0" distB="0" distL="0" distR="0">
            <wp:extent cx="50165" cy="50165"/>
            <wp:effectExtent l="0" t="0" r="0" b="0"/>
            <wp:docPr id="1010" name="IM 36"/>
            <wp:cNvGraphicFramePr/>
            <a:graphic xmlns:a="http://schemas.openxmlformats.org/drawingml/2006/main">
              <a:graphicData uri="http://schemas.openxmlformats.org/drawingml/2006/picture">
                <pic:pic xmlns:pic="http://schemas.openxmlformats.org/drawingml/2006/picture">
                  <pic:nvPicPr>
                    <pic:cNvPr id="1010" name="IM 36"/>
                    <pic:cNvPicPr/>
                  </pic:nvPicPr>
                  <pic:blipFill>
                    <a:blip r:embed="rId14"/>
                    <a:stretch>
                      <a:fillRect/>
                    </a:stretch>
                  </pic:blipFill>
                  <pic:spPr>
                    <a:xfrm>
                      <a:off x="0" y="0"/>
                      <a:ext cx="50701" cy="50701"/>
                    </a:xfrm>
                    <a:prstGeom prst="rect">
                      <a:avLst/>
                    </a:prstGeom>
                  </pic:spPr>
                </pic:pic>
              </a:graphicData>
            </a:graphic>
          </wp:inline>
        </w:drawing>
      </w:r>
      <w:r>
        <w:rPr>
          <w:b/>
          <w:bCs/>
          <w:color w:val="333333"/>
          <w:spacing w:val="6"/>
        </w:rPr>
        <w:t xml:space="preserve">   </w:t>
      </w:r>
      <w:r>
        <w:rPr>
          <w:b/>
          <w:bCs/>
          <w:color w:val="333333"/>
          <w:spacing w:val="5"/>
        </w:rPr>
        <w:t>拓扑结构</w:t>
      </w:r>
      <w:r>
        <w:rPr>
          <w:b/>
          <w:bCs/>
          <w:color w:val="333333"/>
          <w:spacing w:val="-21"/>
        </w:rPr>
        <w:t xml:space="preserve"> </w:t>
      </w:r>
      <w:r>
        <w:rPr>
          <w:color w:val="333333"/>
          <w:spacing w:val="5"/>
        </w:rPr>
        <w:t>：</w:t>
      </w:r>
    </w:p>
    <w:p>
      <w:pPr>
        <w:pStyle w:val="20"/>
        <w:spacing w:before="0" w:after="0" w:line="334" w:lineRule="auto"/>
        <w:ind w:left="0" w:right="0" w:firstLine="420"/>
        <w:contextualSpacing w:val="0"/>
        <w:jc w:val="left"/>
        <w:rPr>
          <w:rFonts w:hint="default"/>
          <w:lang w:val="en-US"/>
        </w:rPr>
      </w:pPr>
      <w:r>
        <w:rPr>
          <w:color w:val="333333"/>
          <w:spacing w:val="5"/>
        </w:rPr>
        <w:t>混合型拓扑结构。理由：该风险子图模式中，节点之间存在多种关联关系，包括基于收单机构、商户发展方、省、县等多个维度的连接。这表明节点之间的关系较为复杂，没有明显的中心节点或者闭环结构，而是呈现出一种混合连接的状态。具体来说，应用节点1与其他节点有较多的共同特征，如收单机构、商户发展方、省等，体现了其在多个维度上的关联性。而其他节点之间的关联则较为分散，没有形成紧密的闭环或星型结构。</w:t>
      </w:r>
    </w:p>
    <w:p>
      <w:pPr>
        <w:pStyle w:val="20"/>
        <w:spacing w:before="152" w:line="181" w:lineRule="auto"/>
        <w:ind w:left="223"/>
      </w:pPr>
      <w:r>
        <w:rPr>
          <w:color w:val="333333"/>
          <w:position w:val="3"/>
        </w:rPr>
        <w:drawing>
          <wp:inline distT="0" distB="0" distL="0" distR="0">
            <wp:extent cx="50165" cy="50165"/>
            <wp:effectExtent l="0" t="0" r="0" b="0"/>
            <wp:docPr id="1011" name="IM 38"/>
            <wp:cNvGraphicFramePr/>
            <a:graphic xmlns:a="http://schemas.openxmlformats.org/drawingml/2006/main">
              <a:graphicData uri="http://schemas.openxmlformats.org/drawingml/2006/picture">
                <pic:pic xmlns:pic="http://schemas.openxmlformats.org/drawingml/2006/picture">
                  <pic:nvPicPr>
                    <pic:cNvPr id="1011" name="IM 38"/>
                    <pic:cNvPicPr/>
                  </pic:nvPicPr>
                  <pic:blipFill>
                    <a:blip r:embed="rId15"/>
                    <a:stretch>
                      <a:fillRect/>
                    </a:stretch>
                  </pic:blipFill>
                  <pic:spPr>
                    <a:xfrm>
                      <a:off x="0" y="0"/>
                      <a:ext cx="50701" cy="50701"/>
                    </a:xfrm>
                    <a:prstGeom prst="rect">
                      <a:avLst/>
                    </a:prstGeom>
                  </pic:spPr>
                </pic:pic>
              </a:graphicData>
            </a:graphic>
          </wp:inline>
        </w:drawing>
      </w:r>
      <w:r>
        <w:rPr>
          <w:b/>
          <w:bCs/>
          <w:color w:val="333333"/>
          <w:spacing w:val="2"/>
        </w:rPr>
        <w:t xml:space="preserve">   </w:t>
      </w:r>
      <w:r>
        <w:rPr>
          <w:b/>
          <w:bCs/>
          <w:color w:val="333333"/>
          <w:spacing w:val="4"/>
        </w:rPr>
        <w:t>关键属性</w:t>
      </w:r>
      <w:r>
        <w:rPr>
          <w:color w:val="333333"/>
          <w:spacing w:val="4"/>
        </w:rPr>
        <w:t>：</w:t>
      </w:r>
    </w:p>
    <w:p>
      <w:pPr>
        <w:pStyle w:val="20"/>
        <w:spacing w:before="0" w:after="0" w:line="334" w:lineRule="auto"/>
        <w:ind w:left="0" w:right="0" w:firstLine="420"/>
        <w:contextualSpacing w:val="0"/>
        <w:jc w:val="left"/>
        <w:rPr>
          <w:rFonts w:hint="default"/>
          <w:lang w:val="en-US"/>
        </w:rPr>
      </w:pPr>
      <w:r>
        <w:rPr>
          <w:color w:val="333333"/>
          <w:spacing w:val="5"/>
        </w:rPr>
        <w:t>商户集中度和统一控制。详细分析：从给定的数据中，我们可以观察到多个应用节点之间存在高度的地理和机构上的集中性。具体来说，应用节点1、4和5之间存在多个共同的特征，包括收单机构（acqr）、商户发展方（dvlpsd）、省（province）和县（county）。应用节点2和4之间也有多个共同的特征，包括收单机构（acqr）、商户发展方（dvlpsd）、发展银行（depbank）、结算账户（stl_acc）、联系人（mchnt_con）和省（province）。这些共同特征表明这些商户可能属于同一控制实体或有紧密的关联关系。特别是，多个商户共享相同的地理信息和收单机构，这可能暗示着统一的控制或管理结构，增加了潜在的风险，如欺诈行为或洗钱活动的可能性。</w:t>
      </w:r>
    </w:p>
    <w:p>
      <w:pPr>
        <w:pStyle w:val="20"/>
        <w:spacing w:before="83" w:line="181" w:lineRule="auto"/>
        <w:ind w:left="223"/>
      </w:pPr>
      <w:r>
        <w:rPr>
          <w:color w:val="333333"/>
          <w:position w:val="3"/>
        </w:rPr>
        <w:drawing>
          <wp:inline distT="0" distB="0" distL="0" distR="0">
            <wp:extent cx="50165" cy="50165"/>
            <wp:effectExtent l="0" t="0" r="0" b="0"/>
            <wp:docPr id="1012" name="IM 40"/>
            <wp:cNvGraphicFramePr/>
            <a:graphic xmlns:a="http://schemas.openxmlformats.org/drawingml/2006/main">
              <a:graphicData uri="http://schemas.openxmlformats.org/drawingml/2006/picture">
                <pic:pic xmlns:pic="http://schemas.openxmlformats.org/drawingml/2006/picture">
                  <pic:nvPicPr>
                    <pic:cNvPr id="1012" name="IM 40"/>
                    <pic:cNvPicPr/>
                  </pic:nvPicPr>
                  <pic:blipFill>
                    <a:blip r:embed="rId13"/>
                    <a:stretch>
                      <a:fillRect/>
                    </a:stretch>
                  </pic:blipFill>
                  <pic:spPr>
                    <a:xfrm>
                      <a:off x="0" y="0"/>
                      <a:ext cx="50701" cy="50701"/>
                    </a:xfrm>
                    <a:prstGeom prst="rect">
                      <a:avLst/>
                    </a:prstGeom>
                  </pic:spPr>
                </pic:pic>
              </a:graphicData>
            </a:graphic>
          </wp:inline>
        </w:drawing>
      </w:r>
      <w:r>
        <w:rPr>
          <w:b/>
          <w:bCs/>
          <w:color w:val="333333"/>
          <w:spacing w:val="1"/>
        </w:rPr>
        <w:t xml:space="preserve">   </w:t>
      </w:r>
      <w:r>
        <w:rPr>
          <w:b/>
          <w:bCs/>
          <w:color w:val="333333"/>
          <w:spacing w:val="3"/>
        </w:rPr>
        <w:t>风险特征</w:t>
      </w:r>
      <w:r>
        <w:rPr>
          <w:color w:val="333333"/>
          <w:spacing w:val="3"/>
        </w:rPr>
        <w:t>：</w:t>
      </w:r>
    </w:p>
    <w:p>
      <w:pPr>
        <w:pStyle w:val="20"/>
        <w:spacing w:before="0" w:after="0" w:line="334" w:lineRule="auto"/>
        <w:ind w:left="0" w:right="0" w:firstLine="420"/>
        <w:contextualSpacing w:val="0"/>
        <w:jc w:val="left"/>
        <w:rPr>
          <w:rFonts w:hint="default"/>
          <w:lang w:val="en-US"/>
        </w:rPr>
      </w:pPr>
      <w:r>
        <w:rPr>
          <w:color w:val="333333"/>
          <w:spacing w:val="5"/>
        </w:rPr>
        <w:t>分析表明，关键风险指标涉及中层管理和集中控制。在行业波动中，多个节点之间的高度相关性和结构表明，这些企业可能处于同一控制体系或有风险关联的网络中。具体而言，多个企业共享相同的信息和集中架构，这增加了系统或管理结构中的脆弱性，可能引发系统性风险，如恶意行为或破坏活动的可能性。此外，风险节点的分布较为复杂，没有明显的中心节点或封闭结构，而是表现出一种交织的连接状态。建议采用基于属性解耦的防火墙机制与跨网络风险对冲策略，以增强系统的韧性和安全性。同时，应建立集中监控与实时管理的机制，加强风险评估和安全防护，定期进行安全审计和风险分析。</w:t>
      </w:r>
    </w:p>
    <w:p>
      <w:pPr>
        <w:pStyle w:val="20"/>
        <w:spacing w:before="83" w:line="181" w:lineRule="auto"/>
        <w:ind w:left="223"/>
      </w:pPr>
      <w:r>
        <w:rPr>
          <w:color w:val="333333"/>
          <w:position w:val="3"/>
        </w:rPr>
        <w:drawing>
          <wp:inline distT="0" distB="0" distL="0" distR="0">
            <wp:extent cx="50165" cy="50165"/>
            <wp:effectExtent l="0" t="0" r="0" b="0"/>
            <wp:docPr id="1013" name="IM 40"/>
            <wp:cNvGraphicFramePr/>
            <a:graphic xmlns:a="http://schemas.openxmlformats.org/drawingml/2006/main">
              <a:graphicData uri="http://schemas.openxmlformats.org/drawingml/2006/picture">
                <pic:pic xmlns:pic="http://schemas.openxmlformats.org/drawingml/2006/picture">
                  <pic:nvPicPr>
                    <pic:cNvPr id="1013" name="IM 40"/>
                    <pic:cNvPicPr/>
                  </pic:nvPicPr>
                  <pic:blipFill>
                    <a:blip r:embed="rId13"/>
                    <a:stretch>
                      <a:fillRect/>
                    </a:stretch>
                  </pic:blipFill>
                  <pic:spPr>
                    <a:xfrm>
                      <a:off x="0" y="0"/>
                      <a:ext cx="50700" cy="50700"/>
                    </a:xfrm>
                    <a:prstGeom prst="rect">
                      <a:avLst/>
                    </a:prstGeom>
                  </pic:spPr>
                </pic:pic>
              </a:graphicData>
            </a:graphic>
          </wp:inline>
        </w:drawing>
      </w:r>
      <w:r>
        <w:rPr>
          <w:b/>
          <w:bCs/>
          <w:color w:val="333333"/>
          <w:spacing w:val="1"/>
        </w:rPr>
        <w:t xml:space="preserve">   </w:t>
      </w:r>
      <w:r>
        <w:rPr>
          <w:b/>
          <w:bCs/>
          <w:color w:val="333333"/>
          <w:spacing w:val="3"/>
        </w:rPr>
        <w:t>风险评级</w:t>
      </w:r>
      <w:r>
        <w:rPr>
          <w:color w:val="333333"/>
          <w:spacing w:val="3"/>
        </w:rPr>
        <w:t>：</w:t>
      </w:r>
    </w:p>
    <w:p>
      <w:pPr>
        <w:pStyle w:val="20"/>
        <w:spacing w:before="0" w:after="0" w:line="334" w:lineRule="auto"/>
        <w:ind w:left="0" w:right="0" w:firstLine="420"/>
        <w:contextualSpacing w:val="0"/>
        <w:jc w:val="left"/>
        <w:rPr>
          <w:rFonts w:hint="default"/>
          <w:lang w:val="en-US"/>
        </w:rPr>
      </w:pPr>
      <w:r>
        <w:rPr>
          <w:color w:val="333333"/>
          <w:spacing w:val="5"/>
        </w:rPr>
        <w:t>高风险节点（评级A）。管控建议：建议建立冗余机制与实时监控，加强访问控制和安全审计，定期进行安全漏洞扫描和风险评估</w:t>
      </w:r>
    </w:p>
    <w:p>
      <w:pPr>
        <w:pStyle w:val="20"/>
        <w:spacing w:before="240" w:line="230" w:lineRule="auto"/>
        <w:ind w:left="6" w:right="43" w:firstLine="1"/>
        <w:jc w:val="both"/>
      </w:pPr>
    </w:p>
    <w:p>
      <w:pPr>
        <w:pStyle w:val="20"/>
        <w:spacing w:before="218" w:line="180" w:lineRule="auto"/>
        <w:ind w:left="7"/>
      </w:pPr>
      <w:r>
        <w:rPr>
          <w:b/>
          <w:bCs/>
          <w:color w:val="333333"/>
          <w:spacing w:val="6"/>
        </w:rPr>
        <w:t>属性风险矩阵</w:t>
      </w:r>
    </w:p>
    <w:p>
      <w:pPr>
        <w:spacing w:before="1"/>
      </w:pPr>
    </w:p>
    <w:tbl>
      <w:tblPr>
        <w:tblStyle w:val="308"/>
        <w:tblW w:w="8830" w:type="dxa"/>
        <w:tblInd w:w="7" w:type="dxa"/>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0" w:type="dxa"/>
          <w:left w:w="0" w:type="dxa"/>
          <w:bottom w:w="0" w:type="dxa"/>
          <w:right w:w="0" w:type="dxa"/>
        </w:tblCellMar>
      </w:tblPr>
      <w:tblGrid>
        <w:gridCol w:w="2791"/>
        <w:gridCol w:w="1770"/>
        <w:gridCol w:w="2033"/>
        <w:gridCol w:w="2236"/>
      </w:tblGrid>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16" w:hRule="atLeast"/>
          <w:hidden/>
        </w:trPr>
        <w:tc>
          <w:tcPr>
            <w:tcW w:w="2791" w:type="dxa"/>
            <w:vMerge w:val="restart"/>
            <w:shd w:val="clear" w:color="FFFFFF" w:fill="F8F8F8"/>
            <w:noWrap w:val="0"/>
            <w:vAlign w:val="top"/>
          </w:tcPr>
          <w:p>
            <w:pPr>
              <w:pStyle w:val="307"/>
              <w:spacing w:before="161" w:line="183" w:lineRule="auto"/>
              <w:ind w:left="216"/>
              <w:rPr>
                <w:rFonts w:hint="default"/>
                <w:b w:val="0"/>
                <w:bCs w:val="0"/>
                <w:i w:val="0"/>
                <w:iCs w:val="0"/>
                <w:caps w:val="0"/>
                <w:smallCaps w:val="0"/>
                <w:strike w:val="0"/>
                <w:vanish w:val="0"/>
              </w:rPr>
            </w:pPr>
            <w:r>
              <w:rPr>
                <w:rFonts w:hint="default"/>
                <w:b/>
                <w:bCs/>
                <w:i w:val="0"/>
                <w:iCs w:val="0"/>
                <w:caps w:val="0"/>
                <w:smallCaps w:val="0"/>
                <w:strike w:val="0"/>
                <w:vanish w:val="0"/>
                <w:color w:val="333333"/>
                <w:spacing w:val="5"/>
              </w:rPr>
              <w:t>属性维度</w:t>
            </w:r>
          </w:p>
        </w:tc>
        <w:tc>
          <w:tcPr>
            <w:tcW w:w="1770" w:type="dxa"/>
            <w:vMerge w:val="restart"/>
            <w:shd w:val="clear" w:color="FFFFFF" w:fill="F8F8F8"/>
            <w:noWrap w:val="0"/>
            <w:vAlign w:val="top"/>
          </w:tcPr>
          <w:p>
            <w:pPr>
              <w:pStyle w:val="307"/>
              <w:spacing w:before="161" w:line="182" w:lineRule="auto"/>
              <w:ind w:left="209"/>
              <w:rPr>
                <w:rFonts w:hint="default"/>
                <w:b w:val="0"/>
                <w:bCs w:val="0"/>
                <w:i w:val="0"/>
                <w:iCs w:val="0"/>
                <w:caps w:val="0"/>
                <w:smallCaps w:val="0"/>
                <w:strike w:val="0"/>
                <w:vanish w:val="0"/>
              </w:rPr>
            </w:pPr>
            <w:r>
              <w:rPr>
                <w:rFonts w:hint="default"/>
                <w:b/>
                <w:bCs/>
                <w:i w:val="0"/>
                <w:iCs w:val="0"/>
                <w:caps w:val="0"/>
                <w:smallCaps w:val="0"/>
                <w:strike w:val="0"/>
                <w:vanish w:val="0"/>
                <w:color w:val="333333"/>
                <w:spacing w:val="4"/>
              </w:rPr>
              <w:t>风险节点值</w:t>
            </w:r>
          </w:p>
        </w:tc>
        <w:tc>
          <w:tcPr>
            <w:tcW w:w="2033" w:type="dxa"/>
            <w:vMerge w:val="restart"/>
            <w:shd w:val="clear" w:color="FFFFFF" w:fill="F8F8F8"/>
            <w:noWrap w:val="0"/>
            <w:vAlign w:val="top"/>
          </w:tcPr>
          <w:p>
            <w:pPr>
              <w:pStyle w:val="307"/>
              <w:spacing w:before="161" w:line="183" w:lineRule="auto"/>
              <w:ind w:left="221"/>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同质化率</w:t>
            </w:r>
          </w:p>
        </w:tc>
        <w:tc>
          <w:tcPr>
            <w:tcW w:w="2236" w:type="dxa"/>
            <w:vMerge w:val="restart"/>
            <w:shd w:val="clear" w:color="FFFFFF" w:fill="F8F8F8"/>
            <w:noWrap w:val="0"/>
            <w:vAlign w:val="top"/>
          </w:tcPr>
          <w:p>
            <w:pPr>
              <w:pStyle w:val="307"/>
              <w:spacing w:before="163" w:line="181" w:lineRule="auto"/>
              <w:ind w:left="220"/>
              <w:rPr>
                <w:rFonts w:hint="default"/>
                <w:b w:val="0"/>
                <w:bCs w:val="0"/>
                <w:i w:val="0"/>
                <w:iCs w:val="0"/>
                <w:caps w:val="0"/>
                <w:smallCaps w:val="0"/>
                <w:strike w:val="0"/>
                <w:vanish w:val="0"/>
              </w:rPr>
            </w:pPr>
            <w:r>
              <w:rPr>
                <w:rFonts w:hint="default"/>
                <w:b/>
                <w:bCs/>
                <w:i w:val="0"/>
                <w:iCs w:val="0"/>
                <w:caps w:val="0"/>
                <w:smallCaps w:val="0"/>
                <w:strike w:val="0"/>
                <w:vanish w:val="0"/>
                <w:color w:val="333333"/>
                <w:spacing w:val="3"/>
              </w:rPr>
              <w:t>规避监管手段分析</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是否C2B收单商户</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否</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占比40%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通过非C2B收单商户规避C2B收单监管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是否预付卡受理商户</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否</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不受理预付卡以规避相关预付卡监管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最后客户等级</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普通, 一级, 试用</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占比分别为20%, 20%, 20%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使用不同等级客户以混淆客户群体</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在线商户标志</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占比100%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利用未知在线商户标志规避在线商户监管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791"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是否支持双币卡</w:t>
            </w:r>
          </w:p>
        </w:tc>
        <w:tc>
          <w:tcPr>
            <w:tcW w:w="1770"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是, 否</w:t>
            </w:r>
          </w:p>
        </w:tc>
        <w:tc>
          <w:tcPr>
            <w:tcW w:w="2033"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占比50%, 50%</w:t>
            </w:r>
          </w:p>
        </w:tc>
        <w:tc>
          <w:tcPr>
            <w:tcW w:w="2236" w:type="dxa"/>
            <w:vMerge w:val="restart"/>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根据需要支持或不支持双币卡以规避相关监管</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CellMar>
            <w:top w:w="0" w:type="dxa"/>
            <w:left w:w="0" w:type="dxa"/>
            <w:bottom w:w="0" w:type="dxa"/>
            <w:right w:w="0" w:type="dxa"/>
          </w:tblCellMar>
        </w:tblPrEx>
        <w:trPr>
          <w:trHeight w:val="508" w:hRule="atLeast"/>
          <w:hidden/>
        </w:trPr>
        <w:tc>
          <w:tcPr>
            <w:tcW w:w="2791"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商户发展模式</w:t>
            </w:r>
          </w:p>
        </w:tc>
        <w:tc>
          <w:tcPr>
            <w:tcW w:w="1770"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未知, 代理</w:t>
            </w:r>
          </w:p>
        </w:tc>
        <w:tc>
          <w:tcPr>
            <w:tcW w:w="2033"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占比60%, 40%</w:t>
            </w:r>
          </w:p>
        </w:tc>
        <w:tc>
          <w:tcPr>
            <w:tcW w:w="2236" w:type="dxa"/>
            <w:shd w:val="clear" w:color="FFFFFF" w:fill="F8F8F8"/>
            <w:noWrap w:val="0"/>
            <w:vAlign w:val="top"/>
          </w:tcPr>
          <w:p>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pPr>
            <w:r>
              <w:rPr>
                <w:rFonts w:hint="default" w:ascii="Arial" w:hAnsi="Arial" w:eastAsia="Arial" w:cs="Arial"/>
                <w:b w:val="0"/>
                <w:bCs w:val="0"/>
                <w:i w:val="0"/>
                <w:iCs w:val="0"/>
                <w:caps w:val="0"/>
                <w:smallCaps w:val="0"/>
                <w:strike w:val="0"/>
                <w:vanish w:val="0"/>
                <w:color w:val="000000"/>
                <w:spacing w:val="0"/>
                <w:position w:val="0"/>
                <w:sz w:val="21"/>
                <w:szCs w:val="21"/>
                <w:highlight w:val="none"/>
                <w:u w:val="none"/>
                <w:vertAlign w:val="baseline"/>
                <w:rtl w:val="0"/>
                <w:cs w:val="0"/>
                <w:lang w:val="en-US" w:eastAsia="en-US" w:bidi="ar-SA"/>
                <w14:ligatures w14:val="none"/>
              </w:rPr>
              <w:t>通过代理或未知模式以规避直接监管</w:t>
            </w:r>
          </w:p>
        </w:tc>
      </w:tr>
    </w:tbl>
    <w:p>
      <w:pPr>
        <w:spacing w:before="0" w:after="0" w:line="240" w:lineRule="auto"/>
        <w:rPr>
          <w:sz w:val="2"/>
        </w:rPr>
      </w:pPr>
    </w:p>
    <w:p>
      <w:pPr>
        <w:spacing w:before="1" w:line="32" w:lineRule="exact"/>
      </w:pPr>
      <w:r>
        <w:drawing>
          <wp:inline distT="0" distB="0" distL="0" distR="0">
            <wp:extent cx="6601460" cy="19685"/>
            <wp:effectExtent l="0" t="0" r="0" b="0"/>
            <wp:docPr id="1014" name="IM 42"/>
            <wp:cNvGraphicFramePr/>
            <a:graphic xmlns:a="http://schemas.openxmlformats.org/drawingml/2006/main">
              <a:graphicData uri="http://schemas.openxmlformats.org/drawingml/2006/picture">
                <pic:pic xmlns:pic="http://schemas.openxmlformats.org/drawingml/2006/picture">
                  <pic:nvPicPr>
                    <pic:cNvPr id="1014" name="IM 42"/>
                    <pic:cNvPicPr/>
                  </pic:nvPicPr>
                  <pic:blipFill>
                    <a:blip r:embed="rId16"/>
                    <a:stretch>
                      <a:fillRect/>
                    </a:stretch>
                  </pic:blipFill>
                  <pic:spPr>
                    <a:xfrm>
                      <a:off x="0" y="0"/>
                      <a:ext cx="6601536" cy="20277"/>
                    </a:xfrm>
                    <a:prstGeom prst="rect">
                      <a:avLst/>
                    </a:prstGeom>
                  </pic:spPr>
                </pic:pic>
              </a:graphicData>
            </a:graphic>
          </wp:inline>
        </w:drawing>
      </w:r>
    </w:p>
    <w:p>
      <w:pPr>
        <w:pStyle w:val="20"/>
        <w:spacing w:before="308" w:line="184" w:lineRule="auto"/>
        <w:ind w:left="19"/>
        <w:outlineLvl w:val="1"/>
      </w:pPr>
      <w:r>
        <w:rPr>
          <w:b/>
          <w:bCs/>
          <w:color w:val="333333"/>
          <w:spacing w:val="7"/>
          <w:sz w:val="25"/>
          <w:szCs w:val="25"/>
        </w:rPr>
        <w:t>四、风险评级与管控建议</w:t>
      </w:r>
    </w:p>
    <w:p>
      <w:pPr>
        <w:pStyle w:val="20"/>
        <w:spacing w:before="0" w:after="0" w:line="334" w:lineRule="auto"/>
        <w:ind w:left="0" w:right="0" w:firstLine="420"/>
        <w:contextualSpacing w:val="0"/>
        <w:jc w:val="left"/>
        <w:outlineLvl w:val="1"/>
        <w:rPr>
          <w:rFonts w:hint="default"/>
          <w:lang w:val="en-US"/>
        </w:rPr>
      </w:pPr>
      <w:r>
        <w:rPr>
          <w:color w:val="333333"/>
          <w:spacing w:val="5"/>
        </w:rPr>
        <w:t>高风险节点（评级A）和中风险节点（评级B）的核心发现与战略建议如下：建议在两个节点均建立冗余机制与实时监控，以增强系统的稳定性和可靠性。对于高风险节点，还需加强访问控制和安全审计，并定期进行安全漏洞扫描和风险评估，以确保系统的安全性。对于中风险节点，除了上述措施外，还需实施动态压力测试方案，确保系统在高并发情况下仍能稳定运行。同时，加强用户行为分析，识别异常操作，进一步提升系统的安全性。</w:t>
      </w:r>
    </w:p>
    <w:p>
      <w:pPr>
        <w:spacing w:before="238" w:line="32" w:lineRule="exact"/>
      </w:pPr>
    </w:p>
    <w:p>
      <w:pPr>
        <w:spacing w:before="238" w:line="32" w:lineRule="exact"/>
      </w:pPr>
    </w:p>
    <w:p>
      <w:pPr>
        <w:spacing w:before="238" w:line="32" w:lineRule="exact"/>
      </w:pPr>
      <w:r>
        <w:drawing>
          <wp:inline distT="0" distB="0" distL="0" distR="0">
            <wp:extent cx="6601460" cy="19685"/>
            <wp:effectExtent l="0" t="0" r="0" b="0"/>
            <wp:docPr id="1015" name="IM 46"/>
            <wp:cNvGraphicFramePr/>
            <a:graphic xmlns:a="http://schemas.openxmlformats.org/drawingml/2006/main">
              <a:graphicData uri="http://schemas.openxmlformats.org/drawingml/2006/picture">
                <pic:pic xmlns:pic="http://schemas.openxmlformats.org/drawingml/2006/picture">
                  <pic:nvPicPr>
                    <pic:cNvPr id="1015" name="IM 46"/>
                    <pic:cNvPicPr/>
                  </pic:nvPicPr>
                  <pic:blipFill>
                    <a:blip r:embed="rId6"/>
                    <a:stretch>
                      <a:fillRect/>
                    </a:stretch>
                  </pic:blipFill>
                  <pic:spPr>
                    <a:xfrm>
                      <a:off x="0" y="0"/>
                      <a:ext cx="6601536" cy="20277"/>
                    </a:xfrm>
                    <a:prstGeom prst="rect">
                      <a:avLst/>
                    </a:prstGeom>
                  </pic:spPr>
                </pic:pic>
              </a:graphicData>
            </a:graphic>
          </wp:inline>
        </w:drawing>
      </w:r>
    </w:p>
    <w:p>
      <w:pPr>
        <w:pStyle w:val="20"/>
        <w:spacing w:before="308" w:line="185" w:lineRule="auto"/>
        <w:ind w:left="13"/>
        <w:outlineLvl w:val="1"/>
      </w:pPr>
      <w:r>
        <w:rPr>
          <w:b/>
          <w:bCs/>
          <w:color w:val="333333"/>
          <w:spacing w:val="6"/>
          <w:sz w:val="25"/>
          <w:szCs w:val="25"/>
        </w:rPr>
        <w:t>五、结论</w:t>
      </w:r>
    </w:p>
    <w:p>
      <w:pPr>
        <w:pStyle w:val="20"/>
        <w:spacing w:before="0" w:after="0" w:line="334" w:lineRule="auto"/>
        <w:ind w:left="0" w:right="0" w:firstLine="420"/>
        <w:contextualSpacing w:val="0"/>
        <w:jc w:val="left"/>
        <w:rPr>
          <w:rFonts w:hint="default"/>
          <w:lang w:val="en-US"/>
        </w:rPr>
      </w:pPr>
      <w:r>
        <w:rPr>
          <w:color w:val="333333"/>
          <w:spacing w:val="5"/>
        </w:rPr>
        <w:t>关键风险指标涉及中层管理和集中控制，在行业波动中，多个节点之间的高度相关性和结构表明这些企业可能处于同一控制体系或有风险关联的网络中。多个企业共享相同的信息和集中架构，增加了系统或管理结构中的脆弱性，可能引发系统性风险。风险节点的分布较为复杂，没有明显的中心节点或封闭结构，而是表现出一种交织的连接状态。建议采用基于属性解耦的防火墙机制与跨网络风险对冲策略，增强系统的韧性和安全性，同时建立集中监控与实时管理机制，加强风险评估和安全防护，定期进行安全审计和风险分析。</w:t>
      </w:r>
      <w:r>
        <w:rPr>
          <w:color w:val="333333"/>
          <w:spacing w:val="5"/>
        </w:rPr>
        <w:br w:type="textWrapping"/>
      </w:r>
      <w:r>
        <w:rPr>
          <w:color w:val="333333"/>
          <w:spacing w:val="5"/>
        </w:rPr>
        <w:br w:type="textWrapping"/>
      </w:r>
      <w:r>
        <w:rPr>
          <w:color w:val="333333"/>
          <w:spacing w:val="5"/>
        </w:rPr>
        <w:t>该地区中等与极端状态表明大量用户暴露在较高程度的单一风险中，且这些用户存在明显的地域集中现象。所有用户的设备状态均为正常，但在用户标签显示为未知的情况下，部分用户可能涉及单一架构。第一和第二使用点之间的省份不同，但城市级别相同，增加了该类风险的可能性，表明这些用户可能处于同一风险子图中，中心点为灰色。建议优化防火墙机制，确保所有使用点之间的直接连接，并增加与实际监控和实时压力测试相结合的防护策略，确保系统在高并发情况下能够稳定运行。同时，加强用户行为分析，逐步规范操作，提高系统的安全性。</w:t>
      </w:r>
    </w:p>
    <w:p>
      <w:pPr>
        <w:rPr>
          <w:rFonts w:ascii="Microsoft JhengHei" w:hAnsi="Microsoft JhengHei" w:eastAsia="Microsoft JhengHei" w:cs="Microsoft JhengHei"/>
          <w:b/>
          <w:bCs/>
          <w:color w:val="333333"/>
          <w:spacing w:val="5"/>
          <w:sz w:val="25"/>
          <w:szCs w:val="25"/>
          <w:highlight w:val="none"/>
          <w14:ligatures w14:val="none"/>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86"/>
    <w:family w:val="auto"/>
    <w:pitch w:val="default"/>
    <w:sig w:usb0="E0002EFF" w:usb1="C000785B" w:usb2="00000009" w:usb3="00000000" w:csb0="400001FF" w:csb1="FFFF0000"/>
  </w:font>
  <w:font w:name="Courier">
    <w:altName w:val="方正姚体"/>
    <w:panose1 w:val="02010601030101010101"/>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 w:name="文泉驿微米黑">
    <w:panose1 w:val="020B0606030804020204"/>
    <w:charset w:val="86"/>
    <w:family w:val="auto"/>
    <w:pitch w:val="default"/>
    <w:sig w:usb0="E10002EF" w:usb1="6BDFFCFB" w:usb2="00800036" w:usb3="00000000" w:csb0="603E019F" w:csb1="DFD7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E5B12"/>
    <w:multiLevelType w:val="multilevel"/>
    <w:tmpl w:val="B5BE5B12"/>
    <w:lvl w:ilvl="0" w:tentative="0">
      <w:start w:val="1"/>
      <w:numFmt w:val="bullet"/>
      <w:pStyle w:val="24"/>
      <w:lvlText w:val=""/>
      <w:lvlJc w:val="left"/>
      <w:pPr>
        <w:tabs>
          <w:tab w:val="left" w:pos="720"/>
        </w:tabs>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
    <w:nsid w:val="BF48EC44"/>
    <w:multiLevelType w:val="multilevel"/>
    <w:tmpl w:val="BF48EC44"/>
    <w:lvl w:ilvl="0" w:tentative="0">
      <w:start w:val="1"/>
      <w:numFmt w:val="decimal"/>
      <w:pStyle w:val="14"/>
      <w:lvlText w:val="%1."/>
      <w:lvlJc w:val="left"/>
      <w:pPr>
        <w:tabs>
          <w:tab w:val="left" w:pos="720"/>
        </w:tabs>
        <w:ind w:left="720" w:hanging="360"/>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2">
    <w:nsid w:val="F3FE07D2"/>
    <w:multiLevelType w:val="multilevel"/>
    <w:tmpl w:val="F3FE07D2"/>
    <w:lvl w:ilvl="0" w:tentative="0">
      <w:start w:val="1"/>
      <w:numFmt w:val="bullet"/>
      <w:pStyle w:val="17"/>
      <w:lvlText w:val=""/>
      <w:lvlJc w:val="left"/>
      <w:pPr>
        <w:tabs>
          <w:tab w:val="left" w:pos="360"/>
        </w:tabs>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3">
    <w:nsid w:val="FE9AC7A8"/>
    <w:multiLevelType w:val="multilevel"/>
    <w:tmpl w:val="FE9AC7A8"/>
    <w:lvl w:ilvl="0" w:tentative="0">
      <w:start w:val="1"/>
      <w:numFmt w:val="bullet"/>
      <w:pStyle w:val="19"/>
      <w:lvlText w:val=""/>
      <w:lvlJc w:val="left"/>
      <w:pPr>
        <w:tabs>
          <w:tab w:val="left" w:pos="1080"/>
        </w:tabs>
        <w:ind w:left="1080" w:hanging="360"/>
      </w:pPr>
      <w:rPr>
        <w:rFonts w:hint="default" w:ascii="Symbol" w:hAnsi="Symbol"/>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4">
    <w:nsid w:val="6FFEC1FD"/>
    <w:multiLevelType w:val="multilevel"/>
    <w:tmpl w:val="6FFEC1FD"/>
    <w:lvl w:ilvl="0" w:tentative="0">
      <w:start w:val="1"/>
      <w:numFmt w:val="decimal"/>
      <w:pStyle w:val="15"/>
      <w:lvlText w:val="%1."/>
      <w:lvlJc w:val="left"/>
      <w:pPr>
        <w:tabs>
          <w:tab w:val="left" w:pos="360"/>
        </w:tabs>
        <w:ind w:left="360" w:hanging="360"/>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5">
    <w:nsid w:val="7BB3B073"/>
    <w:multiLevelType w:val="multilevel"/>
    <w:tmpl w:val="7BB3B073"/>
    <w:lvl w:ilvl="0" w:tentative="0">
      <w:start w:val="1"/>
      <w:numFmt w:val="decimal"/>
      <w:pStyle w:val="21"/>
      <w:lvlText w:val="%1."/>
      <w:lvlJc w:val="left"/>
      <w:pPr>
        <w:tabs>
          <w:tab w:val="left" w:pos="1080"/>
        </w:tabs>
        <w:ind w:left="1080" w:hanging="360"/>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872945"/>
    <w:rsid w:val="777F9308"/>
    <w:rsid w:val="77BF1C7A"/>
    <w:rsid w:val="7BEDF7E3"/>
    <w:rsid w:val="B7EE3DEA"/>
    <w:rsid w:val="BF175C6A"/>
    <w:rsid w:val="DFFFC357"/>
    <w:rsid w:val="F6AF4F84"/>
    <w:rsid w:val="F7CF244E"/>
    <w:rsid w:val="FEEF2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0" w:beforeAutospacing="0" w:after="200" w:afterAutospacing="0" w:line="276" w:lineRule="auto"/>
    </w:pPr>
    <w:rPr>
      <w:rFonts w:hint="default" w:asciiTheme="minorHAnsi" w:hAnsiTheme="minorHAnsi" w:eastAsiaTheme="minorEastAsia" w:cstheme="minorBidi"/>
      <w:sz w:val="22"/>
      <w:szCs w:val="22"/>
      <w:lang w:val="en-US" w:eastAsia="en-US" w:bidi="ar-SA"/>
    </w:rPr>
  </w:style>
  <w:style w:type="paragraph" w:styleId="3">
    <w:name w:val="heading 1"/>
    <w:basedOn w:val="1"/>
    <w:next w:val="1"/>
    <w:link w:val="28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28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28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29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29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29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29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29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29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44">
    <w:name w:val="Default Paragraph Font"/>
    <w:semiHidden/>
    <w:unhideWhenUsed/>
    <w:qFormat/>
    <w:uiPriority w:val="1"/>
  </w:style>
  <w:style w:type="table" w:default="1" w:styleId="44">
    <w:name w:val="Normal Table"/>
    <w:semiHidden/>
    <w:unhideWhenUsed/>
    <w:qFormat/>
    <w:uiPriority w:val="99"/>
    <w:tblPr>
      <w:tblCellMar>
        <w:top w:w="0" w:type="dxa"/>
        <w:left w:w="108" w:type="dxa"/>
        <w:bottom w:w="0" w:type="dxa"/>
        <w:right w:w="108" w:type="dxa"/>
      </w:tblCellMar>
    </w:tblPr>
  </w:style>
  <w:style w:type="paragraph" w:styleId="2">
    <w:name w:val="macro"/>
    <w:link w:val="290"/>
    <w:unhideWhenUsed/>
    <w:qFormat/>
    <w:uiPriority w:val="99"/>
    <w:pPr>
      <w:tabs>
        <w:tab w:val="left" w:pos="576"/>
        <w:tab w:val="left" w:pos="1152"/>
        <w:tab w:val="left" w:pos="1728"/>
        <w:tab w:val="left" w:pos="2304"/>
        <w:tab w:val="left" w:pos="2880"/>
        <w:tab w:val="left" w:pos="3456"/>
        <w:tab w:val="left" w:pos="4032"/>
      </w:tabs>
      <w:spacing w:before="0" w:beforeAutospacing="0" w:after="200" w:afterAutospacing="0" w:line="276" w:lineRule="auto"/>
    </w:pPr>
    <w:rPr>
      <w:rFonts w:hint="default"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toc 7"/>
    <w:basedOn w:val="1"/>
    <w:next w:val="1"/>
    <w:unhideWhenUsed/>
    <w:qFormat/>
    <w:uiPriority w:val="39"/>
    <w:pPr>
      <w:spacing w:after="57"/>
      <w:ind w:left="1701" w:right="0" w:firstLine="0"/>
    </w:pPr>
  </w:style>
  <w:style w:type="paragraph" w:styleId="14">
    <w:name w:val="List Number 2"/>
    <w:basedOn w:val="1"/>
    <w:unhideWhenUsed/>
    <w:qFormat/>
    <w:uiPriority w:val="99"/>
    <w:pPr>
      <w:numPr>
        <w:ilvl w:val="0"/>
        <w:numId w:val="1"/>
      </w:numPr>
      <w:contextualSpacing/>
    </w:pPr>
  </w:style>
  <w:style w:type="paragraph" w:styleId="15">
    <w:name w:val="List Number"/>
    <w:basedOn w:val="1"/>
    <w:unhideWhenUsed/>
    <w:qFormat/>
    <w:uiPriority w:val="99"/>
    <w:pPr>
      <w:numPr>
        <w:ilvl w:val="0"/>
        <w:numId w:val="2"/>
      </w:numPr>
      <w:contextualSpacing/>
    </w:p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7">
    <w:name w:val="List Bullet"/>
    <w:basedOn w:val="1"/>
    <w:unhideWhenUsed/>
    <w:qFormat/>
    <w:uiPriority w:val="99"/>
    <w:pPr>
      <w:numPr>
        <w:ilvl w:val="0"/>
        <w:numId w:val="3"/>
      </w:numPr>
      <w:contextualSpacing/>
    </w:pPr>
  </w:style>
  <w:style w:type="paragraph" w:styleId="18">
    <w:name w:val="Body Text 3"/>
    <w:basedOn w:val="1"/>
    <w:link w:val="289"/>
    <w:unhideWhenUsed/>
    <w:qFormat/>
    <w:uiPriority w:val="99"/>
    <w:pPr>
      <w:spacing w:after="120"/>
    </w:pPr>
    <w:rPr>
      <w:sz w:val="16"/>
      <w:szCs w:val="16"/>
    </w:rPr>
  </w:style>
  <w:style w:type="paragraph" w:styleId="19">
    <w:name w:val="List Bullet 3"/>
    <w:basedOn w:val="1"/>
    <w:unhideWhenUsed/>
    <w:qFormat/>
    <w:uiPriority w:val="99"/>
    <w:pPr>
      <w:numPr>
        <w:ilvl w:val="0"/>
        <w:numId w:val="4"/>
      </w:numPr>
      <w:contextualSpacing/>
    </w:pPr>
  </w:style>
  <w:style w:type="paragraph" w:styleId="20">
    <w:name w:val="Body Text"/>
    <w:basedOn w:val="1"/>
    <w:link w:val="287"/>
    <w:unhideWhenUsed/>
    <w:qFormat/>
    <w:uiPriority w:val="99"/>
    <w:pPr>
      <w:spacing w:after="120"/>
    </w:pPr>
  </w:style>
  <w:style w:type="paragraph" w:styleId="21">
    <w:name w:val="List Number 3"/>
    <w:basedOn w:val="1"/>
    <w:unhideWhenUsed/>
    <w:qFormat/>
    <w:uiPriority w:val="99"/>
    <w:pPr>
      <w:numPr>
        <w:ilvl w:val="0"/>
        <w:numId w:val="5"/>
      </w:numPr>
      <w:contextualSpacing/>
    </w:pPr>
  </w:style>
  <w:style w:type="paragraph" w:styleId="22">
    <w:name w:val="List 2"/>
    <w:basedOn w:val="1"/>
    <w:unhideWhenUsed/>
    <w:qFormat/>
    <w:uiPriority w:val="99"/>
    <w:pPr>
      <w:ind w:left="720" w:hanging="360"/>
      <w:contextualSpacing/>
    </w:pPr>
  </w:style>
  <w:style w:type="paragraph" w:styleId="23">
    <w:name w:val="List Continue"/>
    <w:basedOn w:val="1"/>
    <w:unhideWhenUsed/>
    <w:qFormat/>
    <w:uiPriority w:val="99"/>
    <w:pPr>
      <w:spacing w:after="120"/>
      <w:ind w:left="360"/>
      <w:contextualSpacing/>
    </w:pPr>
  </w:style>
  <w:style w:type="paragraph" w:styleId="24">
    <w:name w:val="List Bullet 2"/>
    <w:basedOn w:val="1"/>
    <w:unhideWhenUsed/>
    <w:qFormat/>
    <w:uiPriority w:val="99"/>
    <w:pPr>
      <w:numPr>
        <w:ilvl w:val="0"/>
        <w:numId w:val="6"/>
      </w:numPr>
      <w:contextualSpacing/>
    </w:pPr>
  </w:style>
  <w:style w:type="paragraph" w:styleId="25">
    <w:name w:val="toc 5"/>
    <w:basedOn w:val="1"/>
    <w:next w:val="1"/>
    <w:unhideWhenUsed/>
    <w:qFormat/>
    <w:uiPriority w:val="39"/>
    <w:pPr>
      <w:spacing w:after="57"/>
      <w:ind w:left="1134" w:right="0" w:firstLine="0"/>
    </w:pPr>
  </w:style>
  <w:style w:type="paragraph" w:styleId="26">
    <w:name w:val="toc 3"/>
    <w:basedOn w:val="1"/>
    <w:next w:val="1"/>
    <w:unhideWhenUsed/>
    <w:qFormat/>
    <w:uiPriority w:val="39"/>
    <w:pPr>
      <w:spacing w:after="57"/>
      <w:ind w:left="567" w:right="0" w:firstLine="0"/>
    </w:pPr>
  </w:style>
  <w:style w:type="paragraph" w:styleId="27">
    <w:name w:val="toc 8"/>
    <w:basedOn w:val="1"/>
    <w:next w:val="1"/>
    <w:unhideWhenUsed/>
    <w:qFormat/>
    <w:uiPriority w:val="39"/>
    <w:pPr>
      <w:spacing w:after="57"/>
      <w:ind w:left="1984" w:right="0" w:firstLine="0"/>
    </w:pPr>
  </w:style>
  <w:style w:type="paragraph" w:styleId="28">
    <w:name w:val="endnote text"/>
    <w:basedOn w:val="1"/>
    <w:link w:val="277"/>
    <w:semiHidden/>
    <w:unhideWhenUsed/>
    <w:qFormat/>
    <w:uiPriority w:val="99"/>
    <w:pPr>
      <w:spacing w:after="0" w:line="240" w:lineRule="auto"/>
    </w:pPr>
    <w:rPr>
      <w:sz w:val="20"/>
    </w:rPr>
  </w:style>
  <w:style w:type="paragraph" w:styleId="29">
    <w:name w:val="footer"/>
    <w:basedOn w:val="1"/>
    <w:link w:val="279"/>
    <w:unhideWhenUsed/>
    <w:qFormat/>
    <w:uiPriority w:val="99"/>
    <w:pPr>
      <w:tabs>
        <w:tab w:val="center" w:pos="4680"/>
        <w:tab w:val="right" w:pos="9360"/>
      </w:tabs>
      <w:spacing w:after="0" w:line="240" w:lineRule="auto"/>
    </w:pPr>
  </w:style>
  <w:style w:type="paragraph" w:styleId="30">
    <w:name w:val="header"/>
    <w:basedOn w:val="1"/>
    <w:link w:val="278"/>
    <w:unhideWhenUsed/>
    <w:qFormat/>
    <w:uiPriority w:val="99"/>
    <w:pPr>
      <w:tabs>
        <w:tab w:val="center" w:pos="4680"/>
        <w:tab w:val="right" w:pos="9360"/>
      </w:tabs>
      <w:spacing w:after="0" w:line="240" w:lineRule="auto"/>
    </w:pPr>
  </w:style>
  <w:style w:type="paragraph" w:styleId="31">
    <w:name w:val="toc 1"/>
    <w:basedOn w:val="1"/>
    <w:next w:val="1"/>
    <w:unhideWhenUsed/>
    <w:qFormat/>
    <w:uiPriority w:val="39"/>
    <w:pPr>
      <w:spacing w:after="57"/>
      <w:ind w:left="0" w:right="0" w:firstLine="0"/>
    </w:pPr>
  </w:style>
  <w:style w:type="paragraph" w:styleId="32">
    <w:name w:val="toc 4"/>
    <w:basedOn w:val="1"/>
    <w:next w:val="1"/>
    <w:unhideWhenUsed/>
    <w:qFormat/>
    <w:uiPriority w:val="39"/>
    <w:pPr>
      <w:spacing w:after="57"/>
      <w:ind w:left="850" w:right="0" w:firstLine="0"/>
    </w:pPr>
  </w:style>
  <w:style w:type="paragraph" w:styleId="33">
    <w:name w:val="Subtitle"/>
    <w:basedOn w:val="1"/>
    <w:next w:val="1"/>
    <w:link w:val="28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4">
    <w:name w:val="List"/>
    <w:basedOn w:val="1"/>
    <w:unhideWhenUsed/>
    <w:qFormat/>
    <w:uiPriority w:val="99"/>
    <w:pPr>
      <w:ind w:left="360" w:hanging="360"/>
      <w:contextualSpacing/>
    </w:pPr>
  </w:style>
  <w:style w:type="paragraph" w:styleId="35">
    <w:name w:val="footnote text"/>
    <w:basedOn w:val="1"/>
    <w:link w:val="276"/>
    <w:semiHidden/>
    <w:unhideWhenUsed/>
    <w:qFormat/>
    <w:uiPriority w:val="99"/>
    <w:pPr>
      <w:spacing w:after="40" w:line="240" w:lineRule="auto"/>
    </w:pPr>
    <w:rPr>
      <w:sz w:val="18"/>
    </w:rPr>
  </w:style>
  <w:style w:type="paragraph" w:styleId="36">
    <w:name w:val="toc 6"/>
    <w:basedOn w:val="1"/>
    <w:next w:val="1"/>
    <w:unhideWhenUsed/>
    <w:qFormat/>
    <w:uiPriority w:val="39"/>
    <w:pPr>
      <w:spacing w:after="57"/>
      <w:ind w:left="1417" w:right="0" w:firstLine="0"/>
    </w:pPr>
  </w:style>
  <w:style w:type="paragraph" w:styleId="37">
    <w:name w:val="table of figures"/>
    <w:basedOn w:val="1"/>
    <w:next w:val="1"/>
    <w:unhideWhenUsed/>
    <w:qFormat/>
    <w:uiPriority w:val="99"/>
    <w:pPr>
      <w:spacing w:after="0" w:afterAutospacing="0"/>
    </w:pPr>
  </w:style>
  <w:style w:type="paragraph" w:styleId="38">
    <w:name w:val="toc 2"/>
    <w:basedOn w:val="1"/>
    <w:next w:val="1"/>
    <w:unhideWhenUsed/>
    <w:qFormat/>
    <w:uiPriority w:val="39"/>
    <w:pPr>
      <w:spacing w:after="57"/>
      <w:ind w:left="283" w:right="0" w:firstLine="0"/>
    </w:pPr>
  </w:style>
  <w:style w:type="paragraph" w:styleId="39">
    <w:name w:val="toc 9"/>
    <w:basedOn w:val="1"/>
    <w:next w:val="1"/>
    <w:unhideWhenUsed/>
    <w:qFormat/>
    <w:uiPriority w:val="39"/>
    <w:pPr>
      <w:spacing w:after="57"/>
      <w:ind w:left="2268" w:right="0" w:firstLine="0"/>
    </w:pPr>
  </w:style>
  <w:style w:type="paragraph" w:styleId="40">
    <w:name w:val="Body Text 2"/>
    <w:basedOn w:val="1"/>
    <w:link w:val="288"/>
    <w:unhideWhenUsed/>
    <w:qFormat/>
    <w:uiPriority w:val="99"/>
    <w:pPr>
      <w:spacing w:after="120" w:line="480" w:lineRule="auto"/>
    </w:pPr>
  </w:style>
  <w:style w:type="paragraph" w:styleId="41">
    <w:name w:val="List Continue 2"/>
    <w:basedOn w:val="1"/>
    <w:unhideWhenUsed/>
    <w:qFormat/>
    <w:uiPriority w:val="99"/>
    <w:pPr>
      <w:spacing w:after="120"/>
      <w:ind w:left="720"/>
      <w:contextualSpacing/>
    </w:pPr>
  </w:style>
  <w:style w:type="paragraph" w:styleId="42">
    <w:name w:val="List Continue 3"/>
    <w:basedOn w:val="1"/>
    <w:unhideWhenUsed/>
    <w:qFormat/>
    <w:uiPriority w:val="99"/>
    <w:pPr>
      <w:spacing w:after="120"/>
      <w:ind w:left="1080"/>
      <w:contextualSpacing/>
    </w:pPr>
  </w:style>
  <w:style w:type="paragraph" w:styleId="43">
    <w:name w:val="Title"/>
    <w:basedOn w:val="1"/>
    <w:next w:val="1"/>
    <w:link w:val="28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sz w:val="52"/>
      <w:szCs w:val="52"/>
    </w:rPr>
  </w:style>
  <w:style w:type="table" w:styleId="45">
    <w:name w:val="Table Grid"/>
    <w:basedOn w:val="44"/>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46">
    <w:name w:val="Light Shading"/>
    <w:basedOn w:val="4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7">
    <w:name w:val="Light Shading Accent 1"/>
    <w:basedOn w:val="44"/>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8">
    <w:name w:val="Light Shading Accent 2"/>
    <w:basedOn w:val="44"/>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9">
    <w:name w:val="Light Shading Accent 3"/>
    <w:basedOn w:val="44"/>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0">
    <w:name w:val="Light Shading Accent 4"/>
    <w:basedOn w:val="44"/>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1">
    <w:name w:val="Light Shading Accent 5"/>
    <w:basedOn w:val="44"/>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52">
    <w:name w:val="Light Shading Accent 6"/>
    <w:basedOn w:val="44"/>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53">
    <w:name w:val="Light List"/>
    <w:basedOn w:val="4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54">
    <w:name w:val="Light List Accent 1"/>
    <w:basedOn w:val="4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5">
    <w:name w:val="Light List Accent 2"/>
    <w:basedOn w:val="44"/>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6">
    <w:name w:val="Light List Accent 3"/>
    <w:basedOn w:val="44"/>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7">
    <w:name w:val="Light List Accent 4"/>
    <w:basedOn w:val="44"/>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8">
    <w:name w:val="Light List Accent 5"/>
    <w:basedOn w:val="44"/>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9">
    <w:name w:val="Light List Accent 6"/>
    <w:basedOn w:val="44"/>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60">
    <w:name w:val="Light Grid"/>
    <w:basedOn w:val="44"/>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61">
    <w:name w:val="Light Grid Accent 1"/>
    <w:basedOn w:val="44"/>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62">
    <w:name w:val="Light Grid Accent 2"/>
    <w:basedOn w:val="44"/>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63">
    <w:name w:val="Light Grid Accent 3"/>
    <w:basedOn w:val="44"/>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64">
    <w:name w:val="Light Grid Accent 4"/>
    <w:basedOn w:val="44"/>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5">
    <w:name w:val="Light Grid Accent 5"/>
    <w:basedOn w:val="44"/>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6">
    <w:name w:val="Light Grid Accent 6"/>
    <w:basedOn w:val="44"/>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sing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7">
    <w:name w:val="Medium Shading 1"/>
    <w:basedOn w:val="44"/>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sing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8">
    <w:name w:val="Medium Shading 1 Accent 1"/>
    <w:basedOn w:val="44"/>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9">
    <w:name w:val="Medium Shading 1 Accent 2"/>
    <w:basedOn w:val="44"/>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70">
    <w:name w:val="Medium Shading 1 Accent 3"/>
    <w:basedOn w:val="44"/>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sing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71">
    <w:name w:val="Medium Shading 1 Accent 4"/>
    <w:basedOn w:val="44"/>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72">
    <w:name w:val="Medium Shading 1 Accent 5"/>
    <w:basedOn w:val="44"/>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73">
    <w:name w:val="Medium Shading 1 Accent 6"/>
    <w:basedOn w:val="44"/>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74">
    <w:name w:val="Medium Shading 2"/>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1"/>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Shading 2 Accent 2"/>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7">
    <w:name w:val="Medium Shading 2 Accent 3"/>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8">
    <w:name w:val="Medium Shading 2 Accent 4"/>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9">
    <w:name w:val="Medium Shading 2 Accent 5"/>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80">
    <w:name w:val="Medium Shading 2 Accent 6"/>
    <w:basedOn w:val="44"/>
    <w:qFormat/>
    <w:uiPriority w:val="64"/>
    <w:pPr>
      <w:spacing w:after="0" w:line="240" w:lineRule="auto"/>
    </w:pPr>
    <w:tblPr>
      <w:tblBorders>
        <w:top w:val="single" w:color="000000" w:sz="18" w:space="0"/>
        <w:bottom w:val="single" w:color="000000"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sing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81">
    <w:name w:val="Medium List 1"/>
    <w:basedOn w:val="44"/>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82">
    <w:name w:val="Medium List 1 Accent 1"/>
    <w:basedOn w:val="44"/>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83">
    <w:name w:val="Medium List 1 Accent 2"/>
    <w:basedOn w:val="44"/>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84">
    <w:name w:val="Medium List 1 Accent 3"/>
    <w:basedOn w:val="44"/>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5">
    <w:name w:val="Medium List 1 Accent 4"/>
    <w:basedOn w:val="44"/>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6">
    <w:name w:val="Medium List 1 Accent 5"/>
    <w:basedOn w:val="44"/>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7">
    <w:name w:val="Medium List 1 Accent 6"/>
    <w:basedOn w:val="44"/>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8">
    <w:name w:val="Medium List 2"/>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1"/>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List 2 Accent 2"/>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91">
    <w:name w:val="Medium List 2 Accent 3"/>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92">
    <w:name w:val="Medium List 2 Accent 4"/>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93">
    <w:name w:val="Medium List 2 Accent 5"/>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94">
    <w:name w:val="Medium List 2 Accent 6"/>
    <w:basedOn w:val="4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5">
    <w:name w:val="Medium Grid 1"/>
    <w:basedOn w:val="44"/>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6">
    <w:name w:val="Medium Grid 1 Accent 1"/>
    <w:basedOn w:val="44"/>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7">
    <w:name w:val="Medium Grid 1 Accent 2"/>
    <w:basedOn w:val="44"/>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8">
    <w:name w:val="Medium Grid 1 Accent 3"/>
    <w:basedOn w:val="44"/>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9">
    <w:name w:val="Medium Grid 1 Accent 4"/>
    <w:basedOn w:val="44"/>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00">
    <w:name w:val="Medium Grid 1 Accent 5"/>
    <w:basedOn w:val="44"/>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01">
    <w:name w:val="Medium Grid 1 Accent 6"/>
    <w:basedOn w:val="44"/>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102">
    <w:name w:val="Medium Grid 2"/>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103">
    <w:name w:val="Medium Grid 2 Accent 1"/>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104">
    <w:name w:val="Medium Grid 2 Accent 2"/>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5">
    <w:name w:val="Medium Grid 2 Accent 3"/>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6">
    <w:name w:val="Medium Grid 2 Accent 4"/>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7">
    <w:name w:val="Medium Grid 2 Accent 5"/>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8">
    <w:name w:val="Medium Grid 2 Accent 6"/>
    <w:basedOn w:val="4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9">
    <w:name w:val="Medium Grid 3"/>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10">
    <w:name w:val="Medium Grid 3 Accent 1"/>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11">
    <w:name w:val="Medium Grid 3 Accent 2"/>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12">
    <w:name w:val="Medium Grid 3 Accent 3"/>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13">
    <w:name w:val="Medium Grid 3 Accent 4"/>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14">
    <w:name w:val="Medium Grid 3 Accent 5"/>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5">
    <w:name w:val="Medium Grid 3 Accent 6"/>
    <w:basedOn w:val="4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6">
    <w:name w:val="Dark List"/>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7">
    <w:name w:val="Dark List Accent 1"/>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8">
    <w:name w:val="Dark List Accent 2"/>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9">
    <w:name w:val="Dark List Accent 3"/>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20">
    <w:name w:val="Dark List Accent 4"/>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21">
    <w:name w:val="Dark List Accent 5"/>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22">
    <w:name w:val="Dark List Accent 6"/>
    <w:basedOn w:val="4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23">
    <w:name w:val="Colorful Shading"/>
    <w:basedOn w:val="4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Shading Accent 1"/>
    <w:basedOn w:val="4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Shading Accent 2"/>
    <w:basedOn w:val="4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6">
    <w:name w:val="Colorful Shading Accent 3"/>
    <w:basedOn w:val="44"/>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7">
    <w:name w:val="Colorful Shading Accent 4"/>
    <w:basedOn w:val="44"/>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8">
    <w:name w:val="Colorful Shading Accent 5"/>
    <w:basedOn w:val="44"/>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9">
    <w:name w:val="Colorful Shading Accent 6"/>
    <w:basedOn w:val="44"/>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30">
    <w:name w:val="Colorful List"/>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31">
    <w:name w:val="Colorful List Accent 1"/>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33">
    <w:name w:val="Colorful List Accent 3"/>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6">
    <w:name w:val="Colorful List Accent 6"/>
    <w:basedOn w:val="4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7">
    <w:name w:val="Colorful Grid"/>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8">
    <w:name w:val="Colorful Grid Accent 1"/>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9">
    <w:name w:val="Colorful Grid Accent 2"/>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0">
    <w:name w:val="Colorful Grid Accent 3"/>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Colorful Grid Accent 4"/>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2">
    <w:name w:val="Colorful Grid Accent 5"/>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3">
    <w:name w:val="Colorful Grid Accent 6"/>
    <w:basedOn w:val="4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45">
    <w:name w:val="Strong"/>
    <w:basedOn w:val="144"/>
    <w:qFormat/>
    <w:uiPriority w:val="22"/>
    <w:rPr>
      <w:b/>
      <w:bCs/>
    </w:rPr>
  </w:style>
  <w:style w:type="character" w:styleId="146">
    <w:name w:val="endnote reference"/>
    <w:basedOn w:val="144"/>
    <w:semiHidden/>
    <w:unhideWhenUsed/>
    <w:qFormat/>
    <w:uiPriority w:val="99"/>
    <w:rPr>
      <w:vertAlign w:val="superscript"/>
    </w:rPr>
  </w:style>
  <w:style w:type="character" w:styleId="147">
    <w:name w:val="Emphasis"/>
    <w:basedOn w:val="144"/>
    <w:qFormat/>
    <w:uiPriority w:val="20"/>
    <w:rPr>
      <w:i/>
      <w:iCs/>
    </w:rPr>
  </w:style>
  <w:style w:type="character" w:styleId="148">
    <w:name w:val="Hyperlink"/>
    <w:unhideWhenUsed/>
    <w:qFormat/>
    <w:uiPriority w:val="99"/>
    <w:rPr>
      <w:color w:val="0000FF" w:themeColor="hyperlink"/>
      <w:u w:val="single"/>
      <w14:textFill>
        <w14:solidFill>
          <w14:schemeClr w14:val="hlink"/>
        </w14:solidFill>
      </w14:textFill>
    </w:rPr>
  </w:style>
  <w:style w:type="character" w:styleId="149">
    <w:name w:val="footnote reference"/>
    <w:basedOn w:val="144"/>
    <w:unhideWhenUsed/>
    <w:qFormat/>
    <w:uiPriority w:val="99"/>
    <w:rPr>
      <w:vertAlign w:val="superscript"/>
    </w:rPr>
  </w:style>
  <w:style w:type="character" w:customStyle="1" w:styleId="150">
    <w:name w:val="Caption Char"/>
    <w:qFormat/>
    <w:uiPriority w:val="99"/>
  </w:style>
  <w:style w:type="table" w:customStyle="1" w:styleId="151">
    <w:name w:val="Table Grid Light"/>
    <w:basedOn w:val="44"/>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152">
    <w:name w:val="Plain Table 1"/>
    <w:basedOn w:val="44"/>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153">
    <w:name w:val="Plain Table 2"/>
    <w:basedOn w:val="44"/>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154">
    <w:name w:val="Plain Table 3"/>
    <w:basedOn w:val="44"/>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155">
    <w:name w:val="Plain Table 4"/>
    <w:basedOn w:val="44"/>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156">
    <w:name w:val="Plain Table 5"/>
    <w:basedOn w:val="44"/>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157">
    <w:name w:val="Grid Table 1 Light"/>
    <w:basedOn w:val="44"/>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158">
    <w:name w:val="Grid Table 1 Light - Accent 1"/>
    <w:basedOn w:val="44"/>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159">
    <w:name w:val="Grid Table 1 Light - Accent 2"/>
    <w:basedOn w:val="44"/>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160">
    <w:name w:val="Grid Table 1 Light - Accent 3"/>
    <w:basedOn w:val="44"/>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161">
    <w:name w:val="Grid Table 1 Light - Accent 4"/>
    <w:basedOn w:val="44"/>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162">
    <w:name w:val="Grid Table 1 Light - Accent 5"/>
    <w:basedOn w:val="44"/>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163">
    <w:name w:val="Grid Table 1 Light - Accent 6"/>
    <w:basedOn w:val="44"/>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customStyle="1" w:styleId="164">
    <w:name w:val="Grid Table 2"/>
    <w:basedOn w:val="44"/>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165">
    <w:name w:val="Grid Table 2 - Accent 1"/>
    <w:basedOn w:val="44"/>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166">
    <w:name w:val="Grid Table 2 - Accent 2"/>
    <w:basedOn w:val="44"/>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167">
    <w:name w:val="Grid Table 2 - Accent 3"/>
    <w:basedOn w:val="44"/>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168">
    <w:name w:val="Grid Table 2 - Accent 4"/>
    <w:basedOn w:val="44"/>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69">
    <w:name w:val="Grid Table 2 - Accent 5"/>
    <w:basedOn w:val="44"/>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70">
    <w:name w:val="Grid Table 2 - Accent 6"/>
    <w:basedOn w:val="44"/>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71">
    <w:name w:val="Grid Table 3"/>
    <w:basedOn w:val="44"/>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172">
    <w:name w:val="Grid Table 3 - Accent 1"/>
    <w:basedOn w:val="44"/>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1Horz">
      <w:rPr>
        <w:rFonts w:ascii="Arial" w:hAnsi="Arial"/>
        <w:color w:val="404040"/>
        <w:sz w:val="22"/>
      </w:rPr>
      <w:tcPr>
        <w:shd w:val="clear" w:color="DBE5F1" w:themeColor="accent1" w:themeTint="34" w:fill="DBE5F1" w:themeFill="accent1" w:themeFillTint="34"/>
      </w:tcPr>
    </w:tblStylePr>
  </w:style>
  <w:style w:type="table" w:customStyle="1" w:styleId="173">
    <w:name w:val="Grid Table 3 - Accent 2"/>
    <w:basedOn w:val="44"/>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174">
    <w:name w:val="Grid Table 3 - Accent 3"/>
    <w:basedOn w:val="44"/>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175">
    <w:name w:val="Grid Table 3 - Accent 4"/>
    <w:basedOn w:val="44"/>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76">
    <w:name w:val="Grid Table 3 - Accent 5"/>
    <w:basedOn w:val="44"/>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77">
    <w:name w:val="Grid Table 3 - Accent 6"/>
    <w:basedOn w:val="44"/>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78">
    <w:name w:val="Grid Table 4"/>
    <w:basedOn w:val="44"/>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179">
    <w:name w:val="Grid Table 4 - Accent 1"/>
    <w:basedOn w:val="44"/>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1Horz">
      <w:rPr>
        <w:rFonts w:ascii="Arial" w:hAnsi="Arial"/>
        <w:color w:val="404040"/>
        <w:sz w:val="22"/>
      </w:rPr>
      <w:tcPr>
        <w:shd w:val="clear" w:color="DCE6F2" w:themeColor="accent1" w:themeTint="32" w:fill="DCE6F2" w:themeFill="accent1" w:themeFillTint="32"/>
      </w:tcPr>
    </w:tblStylePr>
  </w:style>
  <w:style w:type="table" w:customStyle="1" w:styleId="180">
    <w:name w:val="Grid Table 4 - Accent 2"/>
    <w:basedOn w:val="44"/>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cPr>
        <w:shd w:val="clear" w:color="F2DCDC" w:themeColor="accent2" w:themeTint="32" w:fill="F2DCDC" w:themeFill="accent2" w:themeFillTint="32"/>
      </w:tcPr>
    </w:tblStylePr>
  </w:style>
  <w:style w:type="table" w:customStyle="1" w:styleId="181">
    <w:name w:val="Grid Table 4 - Accent 3"/>
    <w:basedOn w:val="44"/>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cPr>
        <w:shd w:val="clear" w:color="EAF1DD" w:themeColor="accent3" w:themeTint="34" w:fill="EAF1DD" w:themeFill="accent3" w:themeFillTint="34"/>
      </w:tcPr>
    </w:tblStylePr>
  </w:style>
  <w:style w:type="table" w:customStyle="1" w:styleId="182">
    <w:name w:val="Grid Table 4 - Accent 4"/>
    <w:basedOn w:val="44"/>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cPr>
        <w:shd w:val="clear" w:color="E5DFEC" w:themeColor="accent4" w:themeTint="34" w:fill="E5DFEC" w:themeFill="accent4" w:themeFillTint="34"/>
      </w:tcPr>
    </w:tblStylePr>
  </w:style>
  <w:style w:type="table" w:customStyle="1" w:styleId="183">
    <w:name w:val="Grid Table 4 - Accent 5"/>
    <w:basedOn w:val="44"/>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cPr>
        <w:shd w:val="clear" w:color="DAEEF3" w:themeColor="accent5" w:themeTint="34" w:fill="DAEEF3" w:themeFill="accent5" w:themeFillTint="34"/>
      </w:tcPr>
    </w:tblStylePr>
  </w:style>
  <w:style w:type="table" w:customStyle="1" w:styleId="184">
    <w:name w:val="Grid Table 4 - Accent 6"/>
    <w:basedOn w:val="44"/>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cPr>
        <w:shd w:val="clear" w:color="FDE9D9" w:themeColor="accent6" w:themeTint="34" w:fill="FDE9D9" w:themeFill="accent6" w:themeFillTint="34"/>
      </w:tcPr>
    </w:tblStylePr>
  </w:style>
  <w:style w:type="table" w:customStyle="1" w:styleId="185">
    <w:name w:val="Grid Table 5 Dark"/>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186">
    <w:name w:val="Grid Table 5 Dark- Accent 1"/>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1Horz">
      <w:tcPr>
        <w:shd w:val="clear" w:color="AEC5E0" w:themeColor="accent1" w:themeTint="75" w:fill="AEC5E0" w:themeFill="accent1" w:themeFillTint="75"/>
      </w:tcPr>
    </w:tblStylePr>
  </w:style>
  <w:style w:type="table" w:customStyle="1" w:styleId="187">
    <w:name w:val="Grid Table 5 Dark - Accent 2"/>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1Horz">
      <w:tcPr>
        <w:shd w:val="clear" w:color="E2AEAD" w:themeColor="accent2" w:themeTint="75" w:fill="E2AEAD" w:themeFill="accent2" w:themeFillTint="75"/>
      </w:tcPr>
    </w:tblStylePr>
  </w:style>
  <w:style w:type="table" w:customStyle="1" w:styleId="188">
    <w:name w:val="Grid Table 5 Dark - Accent 3"/>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1Horz">
      <w:tcPr>
        <w:shd w:val="clear" w:color="D1DFB2" w:themeColor="accent3" w:themeTint="75" w:fill="D1DFB2" w:themeFill="accent3" w:themeFillTint="75"/>
      </w:tcPr>
    </w:tblStylePr>
  </w:style>
  <w:style w:type="table" w:customStyle="1" w:styleId="189">
    <w:name w:val="Grid Table 5 Dark- Accent 4"/>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1Horz">
      <w:tcPr>
        <w:shd w:val="clear" w:color="C4B7D4" w:themeColor="accent4" w:themeTint="75" w:fill="C4B7D4" w:themeFill="accent4" w:themeFillTint="75"/>
      </w:tcPr>
    </w:tblStylePr>
  </w:style>
  <w:style w:type="table" w:customStyle="1" w:styleId="190">
    <w:name w:val="Grid Table 5 Dark - Accent 5"/>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1Horz">
      <w:tcPr>
        <w:shd w:val="clear" w:color="ACD8E4" w:themeColor="accent5" w:themeTint="75" w:fill="ACD8E4" w:themeFill="accent5" w:themeFillTint="75"/>
      </w:tcPr>
    </w:tblStylePr>
  </w:style>
  <w:style w:type="table" w:customStyle="1" w:styleId="191">
    <w:name w:val="Grid Table 5 Dark - Accent 6"/>
    <w:basedOn w:val="44"/>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1Horz">
      <w:tcPr>
        <w:shd w:val="clear" w:color="FBCEAA" w:themeColor="accent6" w:themeTint="75" w:fill="FBCEAA" w:themeFill="accent6" w:themeFillTint="75"/>
      </w:tcPr>
    </w:tblStylePr>
  </w:style>
  <w:style w:type="table" w:customStyle="1" w:styleId="192">
    <w:name w:val="Grid Table 6 Colorful"/>
    <w:basedOn w:val="44"/>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93">
    <w:name w:val="Grid Table 6 Colorful - Accent 1"/>
    <w:basedOn w:val="44"/>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194">
    <w:name w:val="Grid Table 6 Colorful - Accent 2"/>
    <w:basedOn w:val="44"/>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195">
    <w:name w:val="Grid Table 6 Colorful - Accent 3"/>
    <w:basedOn w:val="44"/>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196">
    <w:name w:val="Grid Table 6 Colorful - Accent 4"/>
    <w:basedOn w:val="44"/>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197">
    <w:name w:val="Grid Table 6 Colorful - Accent 5"/>
    <w:basedOn w:val="44"/>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198">
    <w:name w:val="Grid Table 6 Colorful - Accent 6"/>
    <w:basedOn w:val="44"/>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style>
  <w:style w:type="table" w:customStyle="1" w:styleId="199">
    <w:name w:val="Grid Table 7 Colorful"/>
    <w:basedOn w:val="44"/>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200">
    <w:name w:val="Grid Table 7 Colorful - Accent 1"/>
    <w:basedOn w:val="44"/>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style>
  <w:style w:type="table" w:customStyle="1" w:styleId="201">
    <w:name w:val="Grid Table 7 Colorful - Accent 2"/>
    <w:basedOn w:val="44"/>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202">
    <w:name w:val="Grid Table 7 Colorful - Accent 3"/>
    <w:basedOn w:val="44"/>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style>
  <w:style w:type="table" w:customStyle="1" w:styleId="203">
    <w:name w:val="Grid Table 7 Colorful - Accent 4"/>
    <w:basedOn w:val="44"/>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204">
    <w:name w:val="Grid Table 7 Colorful - Accent 5"/>
    <w:basedOn w:val="44"/>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style>
  <w:style w:type="table" w:customStyle="1" w:styleId="205">
    <w:name w:val="Grid Table 7 Colorful - Accent 6"/>
    <w:basedOn w:val="44"/>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style>
  <w:style w:type="table" w:customStyle="1" w:styleId="206">
    <w:name w:val="List Table 1 Light"/>
    <w:basedOn w:val="44"/>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207">
    <w:name w:val="List Table 1 Light - Accent 1"/>
    <w:basedOn w:val="44"/>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1Horz">
      <w:tcPr>
        <w:shd w:val="clear" w:color="D2DFEE" w:themeColor="accent1" w:themeTint="40" w:fill="D2DFEE" w:themeFill="accent1" w:themeFillTint="40"/>
      </w:tcPr>
    </w:tblStylePr>
  </w:style>
  <w:style w:type="table" w:customStyle="1" w:styleId="208">
    <w:name w:val="List Table 1 Light - Accent 2"/>
    <w:basedOn w:val="44"/>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1Horz">
      <w:tcPr>
        <w:shd w:val="clear" w:color="EFD3D2" w:themeColor="accent2" w:themeTint="40" w:fill="EFD3D2" w:themeFill="accent2" w:themeFillTint="40"/>
      </w:tcPr>
    </w:tblStylePr>
  </w:style>
  <w:style w:type="table" w:customStyle="1" w:styleId="209">
    <w:name w:val="List Table 1 Light - Accent 3"/>
    <w:basedOn w:val="44"/>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1Horz">
      <w:tcPr>
        <w:shd w:val="clear" w:color="E5EDD5" w:themeColor="accent3" w:themeTint="40" w:fill="E5EDD5" w:themeFill="accent3" w:themeFillTint="40"/>
      </w:tcPr>
    </w:tblStylePr>
  </w:style>
  <w:style w:type="table" w:customStyle="1" w:styleId="210">
    <w:name w:val="List Table 1 Light - Accent 4"/>
    <w:basedOn w:val="44"/>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1Horz">
      <w:tcPr>
        <w:shd w:val="clear" w:color="DFD8E7" w:themeColor="accent4" w:themeTint="40" w:fill="DFD8E7" w:themeFill="accent4" w:themeFillTint="40"/>
      </w:tcPr>
    </w:tblStylePr>
  </w:style>
  <w:style w:type="table" w:customStyle="1" w:styleId="211">
    <w:name w:val="List Table 1 Light - Accent 5"/>
    <w:basedOn w:val="44"/>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1Horz">
      <w:tcPr>
        <w:shd w:val="clear" w:color="D1EAF0" w:themeColor="accent5" w:themeTint="40" w:fill="D1EAF0" w:themeFill="accent5" w:themeFillTint="40"/>
      </w:tcPr>
    </w:tblStylePr>
  </w:style>
  <w:style w:type="table" w:customStyle="1" w:styleId="212">
    <w:name w:val="List Table 1 Light - Accent 6"/>
    <w:basedOn w:val="44"/>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1Horz">
      <w:tcPr>
        <w:shd w:val="clear" w:color="FCE4D0" w:themeColor="accent6" w:themeTint="40" w:fill="FCE4D0" w:themeFill="accent6" w:themeFillTint="40"/>
      </w:tcPr>
    </w:tblStylePr>
  </w:style>
  <w:style w:type="table" w:customStyle="1" w:styleId="213">
    <w:name w:val="List Table 2"/>
    <w:basedOn w:val="44"/>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214">
    <w:name w:val="List Table 2 - Accent 1"/>
    <w:basedOn w:val="44"/>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215">
    <w:name w:val="List Table 2 - Accent 2"/>
    <w:basedOn w:val="44"/>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216">
    <w:name w:val="List Table 2 - Accent 3"/>
    <w:basedOn w:val="44"/>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217">
    <w:name w:val="List Table 2 - Accent 4"/>
    <w:basedOn w:val="44"/>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218">
    <w:name w:val="List Table 2 - Accent 5"/>
    <w:basedOn w:val="44"/>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219">
    <w:name w:val="List Table 2 - Accent 6"/>
    <w:basedOn w:val="44"/>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220">
    <w:name w:val="List Table 3"/>
    <w:basedOn w:val="44"/>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221">
    <w:name w:val="List Table 3 - Accent 1"/>
    <w:basedOn w:val="44"/>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1Horz">
      <w:rPr>
        <w:rFonts w:ascii="Arial" w:hAnsi="Arial"/>
        <w:color w:val="404040"/>
        <w:sz w:val="22"/>
      </w:rPr>
      <w:tcPr>
        <w:tcBorders>
          <w:top w:val="single" w:color="4F81BD" w:themeColor="accent1" w:sz="4" w:space="0"/>
          <w:bottom w:val="single" w:color="4F81BD" w:themeColor="accent1" w:sz="4" w:space="0"/>
        </w:tcBorders>
      </w:tcPr>
    </w:tblStylePr>
  </w:style>
  <w:style w:type="table" w:customStyle="1" w:styleId="222">
    <w:name w:val="List Table 3 - Accent 2"/>
    <w:basedOn w:val="44"/>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style>
  <w:style w:type="table" w:customStyle="1" w:styleId="223">
    <w:name w:val="List Table 3 - Accent 3"/>
    <w:basedOn w:val="44"/>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style>
  <w:style w:type="table" w:customStyle="1" w:styleId="224">
    <w:name w:val="List Table 3 - Accent 4"/>
    <w:basedOn w:val="44"/>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style>
  <w:style w:type="table" w:customStyle="1" w:styleId="225">
    <w:name w:val="List Table 3 - Accent 5"/>
    <w:basedOn w:val="44"/>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style>
  <w:style w:type="table" w:customStyle="1" w:styleId="226">
    <w:name w:val="List Table 3 - Accent 6"/>
    <w:basedOn w:val="44"/>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style>
  <w:style w:type="table" w:customStyle="1" w:styleId="227">
    <w:name w:val="List Table 4"/>
    <w:basedOn w:val="44"/>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228">
    <w:name w:val="List Table 4 - Accent 1"/>
    <w:basedOn w:val="44"/>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1Horz">
      <w:rPr>
        <w:rFonts w:ascii="Arial" w:hAnsi="Arial"/>
        <w:color w:val="404040"/>
        <w:sz w:val="22"/>
      </w:rPr>
      <w:tcPr>
        <w:shd w:val="clear" w:color="D2DFEE" w:themeColor="accent1" w:themeTint="40" w:fill="D2DFEE" w:themeFill="accent1" w:themeFillTint="40"/>
      </w:tcPr>
    </w:tblStylePr>
  </w:style>
  <w:style w:type="table" w:customStyle="1" w:styleId="229">
    <w:name w:val="List Table 4 - Accent 2"/>
    <w:basedOn w:val="44"/>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1Horz">
      <w:rPr>
        <w:rFonts w:ascii="Arial" w:hAnsi="Arial"/>
        <w:color w:val="404040"/>
        <w:sz w:val="22"/>
      </w:rPr>
      <w:tcPr>
        <w:shd w:val="clear" w:color="EFD3D2" w:themeColor="accent2" w:themeTint="40" w:fill="EFD3D2" w:themeFill="accent2" w:themeFillTint="40"/>
      </w:tcPr>
    </w:tblStylePr>
  </w:style>
  <w:style w:type="table" w:customStyle="1" w:styleId="230">
    <w:name w:val="List Table 4 - Accent 3"/>
    <w:basedOn w:val="44"/>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1Horz">
      <w:rPr>
        <w:rFonts w:ascii="Arial" w:hAnsi="Arial"/>
        <w:color w:val="404040"/>
        <w:sz w:val="22"/>
      </w:rPr>
      <w:tcPr>
        <w:shd w:val="clear" w:color="E5EDD5" w:themeColor="accent3" w:themeTint="40" w:fill="E5EDD5" w:themeFill="accent3" w:themeFillTint="40"/>
      </w:tcPr>
    </w:tblStylePr>
  </w:style>
  <w:style w:type="table" w:customStyle="1" w:styleId="231">
    <w:name w:val="List Table 4 - Accent 4"/>
    <w:basedOn w:val="44"/>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1Horz">
      <w:rPr>
        <w:rFonts w:ascii="Arial" w:hAnsi="Arial"/>
        <w:color w:val="404040"/>
        <w:sz w:val="22"/>
      </w:rPr>
      <w:tcPr>
        <w:shd w:val="clear" w:color="DFD8E7" w:themeColor="accent4" w:themeTint="40" w:fill="DFD8E7" w:themeFill="accent4" w:themeFillTint="40"/>
      </w:tcPr>
    </w:tblStylePr>
  </w:style>
  <w:style w:type="table" w:customStyle="1" w:styleId="232">
    <w:name w:val="List Table 4 - Accent 5"/>
    <w:basedOn w:val="44"/>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1Horz">
      <w:rPr>
        <w:rFonts w:ascii="Arial" w:hAnsi="Arial"/>
        <w:color w:val="404040"/>
        <w:sz w:val="22"/>
      </w:rPr>
      <w:tcPr>
        <w:shd w:val="clear" w:color="D1EAF0" w:themeColor="accent5" w:themeTint="40" w:fill="D1EAF0" w:themeFill="accent5" w:themeFillTint="40"/>
      </w:tcPr>
    </w:tblStylePr>
  </w:style>
  <w:style w:type="table" w:customStyle="1" w:styleId="233">
    <w:name w:val="List Table 4 - Accent 6"/>
    <w:basedOn w:val="44"/>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1Horz">
      <w:rPr>
        <w:rFonts w:ascii="Arial" w:hAnsi="Arial"/>
        <w:color w:val="404040"/>
        <w:sz w:val="22"/>
      </w:rPr>
      <w:tcPr>
        <w:shd w:val="clear" w:color="FCE4D0" w:themeColor="accent6" w:themeTint="40" w:fill="FCE4D0" w:themeFill="accent6" w:themeFillTint="40"/>
      </w:tcPr>
    </w:tblStylePr>
  </w:style>
  <w:style w:type="table" w:customStyle="1" w:styleId="234">
    <w:name w:val="List Table 5 Dark"/>
    <w:basedOn w:val="44"/>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235">
    <w:name w:val="List Table 5 Dark - Accent 1"/>
    <w:basedOn w:val="44"/>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style>
  <w:style w:type="table" w:customStyle="1" w:styleId="236">
    <w:name w:val="List Table 5 Dark - Accent 2"/>
    <w:basedOn w:val="44"/>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style>
  <w:style w:type="table" w:customStyle="1" w:styleId="237">
    <w:name w:val="List Table 5 Dark - Accent 3"/>
    <w:basedOn w:val="44"/>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style>
  <w:style w:type="table" w:customStyle="1" w:styleId="238">
    <w:name w:val="List Table 5 Dark - Accent 4"/>
    <w:basedOn w:val="44"/>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customStyle="1" w:styleId="239">
    <w:name w:val="List Table 5 Dark - Accent 5"/>
    <w:basedOn w:val="44"/>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customStyle="1" w:styleId="240">
    <w:name w:val="List Table 5 Dark - Accent 6"/>
    <w:basedOn w:val="44"/>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customStyle="1" w:styleId="241">
    <w:name w:val="List Table 6 Colorful"/>
    <w:basedOn w:val="44"/>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242">
    <w:name w:val="List Table 6 Colorful - Accent 1"/>
    <w:basedOn w:val="44"/>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243">
    <w:name w:val="List Table 6 Colorful - Accent 2"/>
    <w:basedOn w:val="44"/>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244">
    <w:name w:val="List Table 6 Colorful - Accent 3"/>
    <w:basedOn w:val="44"/>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245">
    <w:name w:val="List Table 6 Colorful - Accent 4"/>
    <w:basedOn w:val="44"/>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246">
    <w:name w:val="List Table 6 Colorful - Accent 5"/>
    <w:basedOn w:val="44"/>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247">
    <w:name w:val="List Table 6 Colorful - Accent 6"/>
    <w:basedOn w:val="44"/>
    <w:qFormat/>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248">
    <w:name w:val="List Table 7 Colorful"/>
    <w:basedOn w:val="44"/>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249">
    <w:name w:val="List Table 7 Colorful - Accent 1"/>
    <w:basedOn w:val="44"/>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style>
  <w:style w:type="table" w:customStyle="1" w:styleId="250">
    <w:name w:val="List Table 7 Colorful - Accent 2"/>
    <w:basedOn w:val="44"/>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style>
  <w:style w:type="table" w:customStyle="1" w:styleId="251">
    <w:name w:val="List Table 7 Colorful - Accent 3"/>
    <w:basedOn w:val="44"/>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style>
  <w:style w:type="table" w:customStyle="1" w:styleId="252">
    <w:name w:val="List Table 7 Colorful - Accent 4"/>
    <w:basedOn w:val="44"/>
    <w:qFormat/>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style>
  <w:style w:type="table" w:customStyle="1" w:styleId="253">
    <w:name w:val="List Table 7 Colorful - Accent 5"/>
    <w:basedOn w:val="44"/>
    <w:qFormat/>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style>
  <w:style w:type="table" w:customStyle="1" w:styleId="254">
    <w:name w:val="List Table 7 Colorful - Accent 6"/>
    <w:basedOn w:val="44"/>
    <w:qFormat/>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style>
  <w:style w:type="table" w:customStyle="1" w:styleId="255">
    <w:name w:val="Lined - Accent"/>
    <w:basedOn w:val="44"/>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256">
    <w:name w:val="Lined - Accent 1"/>
    <w:basedOn w:val="44"/>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257">
    <w:name w:val="Lined - Accent 2"/>
    <w:basedOn w:val="44"/>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258">
    <w:name w:val="Lined - Accent 3"/>
    <w:basedOn w:val="44"/>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259">
    <w:name w:val="Lined - Accent 4"/>
    <w:basedOn w:val="44"/>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260">
    <w:name w:val="Lined - Accent 5"/>
    <w:basedOn w:val="44"/>
    <w:qFormat/>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261">
    <w:name w:val="Lined - Accent 6"/>
    <w:basedOn w:val="44"/>
    <w:qFormat/>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262">
    <w:name w:val="Bordered &amp; Lined - Accent"/>
    <w:basedOn w:val="44"/>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263">
    <w:name w:val="Bordered &amp; Lined - Accent 1"/>
    <w:basedOn w:val="44"/>
    <w:qFormat/>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style>
  <w:style w:type="table" w:customStyle="1" w:styleId="264">
    <w:name w:val="Bordered &amp; Lined - Accent 2"/>
    <w:basedOn w:val="44"/>
    <w:qFormat/>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style>
  <w:style w:type="table" w:customStyle="1" w:styleId="265">
    <w:name w:val="Bordered &amp; Lined - Accent 3"/>
    <w:basedOn w:val="44"/>
    <w:qFormat/>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style>
  <w:style w:type="table" w:customStyle="1" w:styleId="266">
    <w:name w:val="Bordered &amp; Lined - Accent 4"/>
    <w:basedOn w:val="44"/>
    <w:qFormat/>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style>
  <w:style w:type="table" w:customStyle="1" w:styleId="267">
    <w:name w:val="Bordered &amp; Lined - Accent 5"/>
    <w:basedOn w:val="44"/>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style>
  <w:style w:type="table" w:customStyle="1" w:styleId="268">
    <w:name w:val="Bordered &amp; Lined - Accent 6"/>
    <w:basedOn w:val="44"/>
    <w:qFormat/>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style>
  <w:style w:type="table" w:customStyle="1" w:styleId="269">
    <w:name w:val="Bordered"/>
    <w:basedOn w:val="44"/>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270">
    <w:name w:val="Bordered - Accent 1"/>
    <w:basedOn w:val="44"/>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style>
  <w:style w:type="table" w:customStyle="1" w:styleId="271">
    <w:name w:val="Bordered - Accent 2"/>
    <w:basedOn w:val="44"/>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style>
  <w:style w:type="table" w:customStyle="1" w:styleId="272">
    <w:name w:val="Bordered - Accent 3"/>
    <w:basedOn w:val="44"/>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customStyle="1" w:styleId="273">
    <w:name w:val="Bordered - Accent 4"/>
    <w:basedOn w:val="44"/>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customStyle="1" w:styleId="274">
    <w:name w:val="Bordered - Accent 5"/>
    <w:basedOn w:val="44"/>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style>
  <w:style w:type="table" w:customStyle="1" w:styleId="275">
    <w:name w:val="Bordered - Accent 6"/>
    <w:basedOn w:val="44"/>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customStyle="1" w:styleId="276">
    <w:name w:val="Footnote Text Char"/>
    <w:link w:val="35"/>
    <w:qFormat/>
    <w:uiPriority w:val="99"/>
    <w:rPr>
      <w:sz w:val="18"/>
    </w:rPr>
  </w:style>
  <w:style w:type="character" w:customStyle="1" w:styleId="277">
    <w:name w:val="Endnote Text Char"/>
    <w:link w:val="28"/>
    <w:qFormat/>
    <w:uiPriority w:val="99"/>
    <w:rPr>
      <w:sz w:val="20"/>
    </w:rPr>
  </w:style>
  <w:style w:type="character" w:customStyle="1" w:styleId="278">
    <w:name w:val="Header Char"/>
    <w:basedOn w:val="144"/>
    <w:link w:val="30"/>
    <w:qFormat/>
    <w:uiPriority w:val="99"/>
  </w:style>
  <w:style w:type="character" w:customStyle="1" w:styleId="279">
    <w:name w:val="Footer Char"/>
    <w:basedOn w:val="144"/>
    <w:link w:val="29"/>
    <w:qFormat/>
    <w:uiPriority w:val="99"/>
  </w:style>
  <w:style w:type="paragraph" w:styleId="280">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n-US" w:eastAsia="en-US" w:bidi="ar-SA"/>
    </w:rPr>
  </w:style>
  <w:style w:type="character" w:customStyle="1" w:styleId="281">
    <w:name w:val="Heading 1 Char"/>
    <w:basedOn w:val="144"/>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282">
    <w:name w:val="Heading 2 Char"/>
    <w:basedOn w:val="144"/>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83">
    <w:name w:val="Heading 3 Char"/>
    <w:basedOn w:val="144"/>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84">
    <w:name w:val="Title Char"/>
    <w:basedOn w:val="144"/>
    <w:link w:val="43"/>
    <w:qFormat/>
    <w:uiPriority w:val="10"/>
    <w:rPr>
      <w:rFonts w:asciiTheme="majorHAnsi" w:hAnsiTheme="majorHAnsi" w:eastAsiaTheme="majorEastAsia" w:cstheme="majorBidi"/>
      <w:color w:val="17375E" w:themeColor="text2" w:themeShade="BF"/>
      <w:spacing w:val="5"/>
      <w:sz w:val="52"/>
      <w:szCs w:val="52"/>
    </w:rPr>
  </w:style>
  <w:style w:type="character" w:customStyle="1" w:styleId="285">
    <w:name w:val="Subtitle Char"/>
    <w:basedOn w:val="144"/>
    <w:link w:val="3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86">
    <w:name w:val="List Paragraph"/>
    <w:basedOn w:val="1"/>
    <w:qFormat/>
    <w:uiPriority w:val="34"/>
    <w:pPr>
      <w:ind w:left="720"/>
      <w:contextualSpacing/>
    </w:pPr>
  </w:style>
  <w:style w:type="character" w:customStyle="1" w:styleId="287">
    <w:name w:val="Body Text Char"/>
    <w:basedOn w:val="144"/>
    <w:link w:val="20"/>
    <w:qFormat/>
    <w:uiPriority w:val="99"/>
  </w:style>
  <w:style w:type="character" w:customStyle="1" w:styleId="288">
    <w:name w:val="Body Text 2 Char"/>
    <w:basedOn w:val="144"/>
    <w:link w:val="40"/>
    <w:qFormat/>
    <w:uiPriority w:val="99"/>
  </w:style>
  <w:style w:type="character" w:customStyle="1" w:styleId="289">
    <w:name w:val="Body Text 3 Char"/>
    <w:basedOn w:val="144"/>
    <w:link w:val="18"/>
    <w:qFormat/>
    <w:uiPriority w:val="99"/>
    <w:rPr>
      <w:sz w:val="16"/>
      <w:szCs w:val="16"/>
    </w:rPr>
  </w:style>
  <w:style w:type="character" w:customStyle="1" w:styleId="290">
    <w:name w:val="Macro Text Char"/>
    <w:basedOn w:val="144"/>
    <w:link w:val="2"/>
    <w:qFormat/>
    <w:uiPriority w:val="99"/>
    <w:rPr>
      <w:rFonts w:ascii="Courier" w:hAnsi="Courier"/>
      <w:sz w:val="20"/>
      <w:szCs w:val="20"/>
    </w:rPr>
  </w:style>
  <w:style w:type="paragraph" w:styleId="291">
    <w:name w:val="Quote"/>
    <w:basedOn w:val="1"/>
    <w:next w:val="1"/>
    <w:link w:val="292"/>
    <w:qFormat/>
    <w:uiPriority w:val="29"/>
    <w:rPr>
      <w:i/>
      <w:iCs/>
      <w:color w:val="000000" w:themeColor="text1"/>
      <w14:textFill>
        <w14:solidFill>
          <w14:schemeClr w14:val="tx1"/>
        </w14:solidFill>
      </w14:textFill>
    </w:rPr>
  </w:style>
  <w:style w:type="character" w:customStyle="1" w:styleId="292">
    <w:name w:val="Quote Char"/>
    <w:basedOn w:val="144"/>
    <w:link w:val="291"/>
    <w:qFormat/>
    <w:uiPriority w:val="29"/>
    <w:rPr>
      <w:i/>
      <w:iCs/>
      <w:color w:val="000000" w:themeColor="text1"/>
      <w14:textFill>
        <w14:solidFill>
          <w14:schemeClr w14:val="tx1"/>
        </w14:solidFill>
      </w14:textFill>
    </w:rPr>
  </w:style>
  <w:style w:type="character" w:customStyle="1" w:styleId="293">
    <w:name w:val="Heading 4 Char"/>
    <w:basedOn w:val="144"/>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94">
    <w:name w:val="Heading 5 Char"/>
    <w:basedOn w:val="144"/>
    <w:link w:val="7"/>
    <w:semiHidden/>
    <w:qFormat/>
    <w:uiPriority w:val="9"/>
    <w:rPr>
      <w:rFonts w:asciiTheme="majorHAnsi" w:hAnsiTheme="majorHAnsi" w:eastAsiaTheme="majorEastAsia" w:cstheme="majorBidi"/>
      <w:color w:val="254061" w:themeColor="accent1" w:themeShade="80"/>
    </w:rPr>
  </w:style>
  <w:style w:type="character" w:customStyle="1" w:styleId="295">
    <w:name w:val="Heading 6 Char"/>
    <w:basedOn w:val="144"/>
    <w:link w:val="8"/>
    <w:semiHidden/>
    <w:qFormat/>
    <w:uiPriority w:val="9"/>
    <w:rPr>
      <w:rFonts w:asciiTheme="majorHAnsi" w:hAnsiTheme="majorHAnsi" w:eastAsiaTheme="majorEastAsia" w:cstheme="majorBidi"/>
      <w:i/>
      <w:iCs/>
      <w:color w:val="254061" w:themeColor="accent1" w:themeShade="80"/>
    </w:rPr>
  </w:style>
  <w:style w:type="character" w:customStyle="1" w:styleId="296">
    <w:name w:val="Heading 7 Char"/>
    <w:basedOn w:val="144"/>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7">
    <w:name w:val="Heading 8 Char"/>
    <w:basedOn w:val="144"/>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298">
    <w:name w:val="Heading 9 Char"/>
    <w:basedOn w:val="144"/>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299">
    <w:name w:val="Intense Quote"/>
    <w:basedOn w:val="1"/>
    <w:next w:val="1"/>
    <w:link w:val="30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300">
    <w:name w:val="Intense Quote Char"/>
    <w:basedOn w:val="144"/>
    <w:link w:val="299"/>
    <w:qFormat/>
    <w:uiPriority w:val="30"/>
    <w:rPr>
      <w:b/>
      <w:bCs/>
      <w:i/>
      <w:iCs/>
      <w:color w:val="4F81BD" w:themeColor="accent1"/>
      <w14:textFill>
        <w14:solidFill>
          <w14:schemeClr w14:val="accent1"/>
        </w14:solidFill>
      </w14:textFill>
    </w:rPr>
  </w:style>
  <w:style w:type="character" w:customStyle="1" w:styleId="301">
    <w:name w:val="Subtle Emphasis"/>
    <w:basedOn w:val="144"/>
    <w:qFormat/>
    <w:uiPriority w:val="19"/>
    <w:rPr>
      <w:i/>
      <w:iCs/>
      <w:color w:val="808080" w:themeColor="text1" w:themeTint="80"/>
      <w14:textFill>
        <w14:solidFill>
          <w14:schemeClr w14:val="tx1">
            <w14:lumMod w14:val="50000"/>
            <w14:lumOff w14:val="50000"/>
          </w14:schemeClr>
        </w14:solidFill>
      </w14:textFill>
    </w:rPr>
  </w:style>
  <w:style w:type="character" w:customStyle="1" w:styleId="302">
    <w:name w:val="Intense Emphasis"/>
    <w:basedOn w:val="144"/>
    <w:qFormat/>
    <w:uiPriority w:val="21"/>
    <w:rPr>
      <w:b/>
      <w:bCs/>
      <w:i/>
      <w:iCs/>
      <w:color w:val="4F81BD" w:themeColor="accent1"/>
      <w14:textFill>
        <w14:solidFill>
          <w14:schemeClr w14:val="accent1"/>
        </w14:solidFill>
      </w14:textFill>
    </w:rPr>
  </w:style>
  <w:style w:type="character" w:customStyle="1" w:styleId="303">
    <w:name w:val="Subtle Reference"/>
    <w:basedOn w:val="144"/>
    <w:qFormat/>
    <w:uiPriority w:val="31"/>
    <w:rPr>
      <w:smallCaps/>
      <w:color w:val="C0504D" w:themeColor="accent2"/>
      <w:u w:val="single"/>
      <w14:textFill>
        <w14:solidFill>
          <w14:schemeClr w14:val="accent2"/>
        </w14:solidFill>
      </w14:textFill>
    </w:rPr>
  </w:style>
  <w:style w:type="character" w:customStyle="1" w:styleId="304">
    <w:name w:val="Intense Reference"/>
    <w:basedOn w:val="144"/>
    <w:qFormat/>
    <w:uiPriority w:val="32"/>
    <w:rPr>
      <w:b/>
      <w:bCs/>
      <w:smallCaps/>
      <w:color w:val="C0504D" w:themeColor="accent2"/>
      <w:spacing w:val="5"/>
      <w:u w:val="single"/>
      <w14:textFill>
        <w14:solidFill>
          <w14:schemeClr w14:val="accent2"/>
        </w14:solidFill>
      </w14:textFill>
    </w:rPr>
  </w:style>
  <w:style w:type="character" w:customStyle="1" w:styleId="305">
    <w:name w:val="Book Title"/>
    <w:basedOn w:val="144"/>
    <w:qFormat/>
    <w:uiPriority w:val="33"/>
    <w:rPr>
      <w:b/>
      <w:bCs/>
      <w:smallCaps/>
      <w:spacing w:val="5"/>
    </w:rPr>
  </w:style>
  <w:style w:type="paragraph" w:customStyle="1" w:styleId="306">
    <w:name w:val="TOC Heading"/>
    <w:basedOn w:val="3"/>
    <w:next w:val="1"/>
    <w:semiHidden/>
    <w:unhideWhenUsed/>
    <w:qFormat/>
    <w:uiPriority w:val="39"/>
    <w:pPr>
      <w:outlineLvl w:val="9"/>
    </w:pPr>
  </w:style>
  <w:style w:type="paragraph" w:customStyle="1" w:styleId="307">
    <w:name w:val="Table Text"/>
    <w:semiHidden/>
    <w:qFormat/>
    <w:uiPriority w:val="0"/>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pPr>
    <w:rPr>
      <w:rFonts w:hint="default" w:ascii="Microsoft YaHei" w:hAnsi="Microsoft YaHei" w:eastAsia="Microsoft YaHei" w:cs="Microsoft YaHei"/>
      <w:color w:val="000000"/>
      <w:spacing w:val="0"/>
      <w:position w:val="0"/>
      <w:sz w:val="20"/>
      <w:szCs w:val="20"/>
      <w:highlight w:val="none"/>
      <w:u w:val="none"/>
      <w:vertAlign w:val="baseline"/>
      <w:rtl w:val="0"/>
      <w:cs w:val="0"/>
      <w:lang w:val="en-US" w:eastAsia="en-US" w:bidi="ar-SA"/>
      <w14:ligatures w14:val="none"/>
    </w:rPr>
  </w:style>
  <w:style w:type="table" w:customStyle="1" w:styleId="308">
    <w:name w:val="Table Normal"/>
    <w:semiHidden/>
    <w:unhideWhenUsed/>
    <w:qFormat/>
    <w:uiPriority w:val="0"/>
    <w:pPr>
      <w:keepNext w:val="0"/>
      <w:keepLines w:val="0"/>
      <w:pageBreakBefore w:val="0"/>
      <w:widowControl/>
      <w:suppressLineNumbers w:val="0"/>
      <w:pBdr>
        <w:top w:val="none" w:color="000000" w:sz="0" w:space="0"/>
        <w:left w:val="none" w:color="000000" w:sz="0" w:space="0"/>
        <w:bottom w:val="none" w:color="000000" w:sz="0" w:space="0"/>
        <w:right w:val="none" w:color="000000" w:sz="0" w:space="0"/>
        <w:between w:val="none" w:color="000000" w:sz="0" w:space="0"/>
      </w:pBdr>
      <w:shd w:val="clear" w:color="000000"/>
      <w:spacing w:before="0" w:beforeAutospacing="0" w:after="0" w:afterAutospacing="0" w:line="240" w:lineRule="auto"/>
      <w:ind w:left="0" w:right="0" w:firstLine="0"/>
      <w:contextualSpacing w:val="0"/>
      <w:jc w:val="left"/>
    </w:pPr>
    <w:rPr>
      <w:rFonts w:hint="default" w:ascii="Arial" w:hAnsi="Arial" w:eastAsia="Arial" w:cs="Arial"/>
      <w:color w:val="000000"/>
      <w:spacing w:val="0"/>
      <w:position w:val="0"/>
      <w:sz w:val="21"/>
      <w:szCs w:val="21"/>
      <w:highlight w:val="none"/>
      <w:u w:val="none"/>
      <w:vertAlign w:val="baseline"/>
      <w:rtl w:val="0"/>
      <w:cs w:val="0"/>
      <w:lang w:val="en-US" w:eastAsia="en-US" w:bidi="ar-SA"/>
      <w14:ligatures w14:val="none"/>
    </w:rPr>
    <w:tblPr>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0" w:type="dxa"/>
        <w:bottom w:w="0" w:type="dxa"/>
        <w:right w:w="0" w:type="dxa"/>
      </w:tblCellMar>
    </w:tblPr>
    <w:tcPr>
      <w:tcW w:w="0" w:type="auto"/>
      <w:vMerge w:val="restart"/>
      <w:vAlign w:val="top"/>
    </w:tc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2013-12-24T23:15:00Z</dcterms:created>
  <dc:creator>python-docx</dc:creator>
  <dc:description>generated by python-docx</dc:description>
  <cp:lastModifiedBy>DataGrand</cp:lastModifiedBy>
  <dcterms:modified xsi:type="dcterms:W3CDTF">2025-06-26T16:28:32Z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