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jc w:val="center"/>
        <w:rPr/>
      </w:pPr>
      <w:r>
        <w:rPr>
          <w:b/>
          <w:i w:val="0"/>
          <w:color w:val="b60055"/>
          <w:sz w:val="33"/>
        </w:rPr>
        <w:t xml:space="preserve">DOCUMENTO FINAL — ESPECIFICACIÓN TÉCNICA E INFORME DE VALIDACIÓN</w:t>
      </w:r>
      <w:r/>
    </w:p>
    <w:p>
      <w:pPr>
        <w:pBdr/>
        <w:spacing w:after="200" w:before="0"/>
        <w:ind/>
        <w:jc w:val="center"/>
        <w:rPr/>
      </w:pPr>
      <w:r>
        <w:rPr>
          <w:b/>
          <w:i w:val="0"/>
          <w:color w:val="4b41e1"/>
          <w:sz w:val="26"/>
        </w:rPr>
        <w:t xml:space="preserve">Sistema Web VivaModa con Integración de IA — Nivel Avanzado</w:t>
        <w:br/>
        <w:t xml:space="preserve">Modelos locales, recuperación semántica y analítica predictiva sobre el mínimo exigido</w:t>
      </w:r>
      <w:r/>
    </w:p>
    <w:p>
      <w:pPr>
        <w:pBdr/>
        <w:spacing w:after="40" w:before="0"/>
        <w:ind/>
        <w:rPr/>
      </w:pPr>
      <w:r>
        <w:rPr>
          <w:b w:val="0"/>
          <w:i w:val="0"/>
          <w:color w:val="5c3f45"/>
          <w:sz w:val="20"/>
        </w:rPr>
        <w:t xml:space="preserve">Curso:</w:t>
      </w:r>
      <w:r>
        <w:rPr>
          <w:b w:val="0"/>
          <w:i w:val="0"/>
          <w:color w:val="5c3f45"/>
          <w:sz w:val="20"/>
          <w:lang w:val="es-ES"/>
        </w:rPr>
        <w:t xml:space="preserve"> </w:t>
      </w:r>
      <w:r>
        <w:rPr>
          <w:b w:val="0"/>
          <w:i w:val="0"/>
          <w:color w:val="5c3f45"/>
          <w:sz w:val="20"/>
        </w:rPr>
        <w:t xml:space="preserve">Inteligencia Artificial</w:t>
        <w:tab/>
        <w:tab/>
      </w:r>
      <w:r/>
    </w:p>
    <w:p>
      <w:pPr>
        <w:pBdr/>
        <w:spacing w:after="40" w:before="0"/>
        <w:ind/>
        <w:rPr>
          <w:b w:val="0"/>
          <w:bCs w:val="0"/>
          <w:i w:val="0"/>
          <w:color w:val="5c3f45"/>
          <w:sz w:val="20"/>
          <w:szCs w:val="20"/>
        </w:rPr>
      </w:pPr>
      <w:r>
        <w:rPr>
          <w:b w:val="0"/>
          <w:i w:val="0"/>
          <w:color w:val="5c3f45"/>
          <w:sz w:val="20"/>
        </w:rPr>
        <w:t xml:space="preserve">Arquitectura: Node.js + Express + PostgreSQL/pgvector + FashionCLIP (local) + XGBoost + LLM API</w:t>
        <w:tab/>
        <w:tab/>
      </w:r>
      <w:r/>
    </w:p>
    <w:p w14:paraId="399929DC">
      <w:pPr>
        <w:pBdr/>
        <w:spacing w:after="40" w:before="0"/>
        <w:ind/>
        <w:rPr>
          <w:highlight w:val="none"/>
        </w:rPr>
      </w:pPr>
      <w:r>
        <w:rPr>
          <w:b w:val="0"/>
          <w:i w:val="0"/>
          <w:color w:val="5c3f45"/>
          <w:sz w:val="20"/>
        </w:rPr>
        <w:t xml:space="preserve">Semestre Académico 2026-II</w:t>
      </w:r>
      <w:r/>
      <w:r/>
    </w:p>
    <w:p w14:paraId="2D9827CD">
      <w:pPr>
        <w:pBdr/>
        <w:spacing w:after="40" w:before="0"/>
        <w:ind/>
        <w:rPr/>
      </w:pPr>
      <w:r>
        <w:rPr>
          <w:highlight w:val="none"/>
        </w:rPr>
      </w:r>
      <w:r>
        <w:rPr>
          <w:highlight w:val="none"/>
        </w:rPr>
      </w:r>
      <w:r>
        <w:rPr>
          <w:highlight w:val="none"/>
        </w:rPr>
      </w:r>
    </w:p>
    <w:p>
      <w:pPr>
        <w:pBdr/>
        <w:spacing w:after="240" w:before="0"/>
        <w:ind/>
        <w:rPr>
          <w:b w:val="0"/>
          <w:bCs w:val="0"/>
          <w:i w:val="0"/>
          <w:color w:val="5c3f45"/>
          <w:sz w:val="20"/>
          <w:szCs w:val="20"/>
        </w:rPr>
      </w:pPr>
      <w:r>
        <w:rPr>
          <w:b w:val="0"/>
          <w:i w:val="0"/>
          <w:color w:val="5c3f45"/>
          <w:sz w:val="20"/>
        </w:rPr>
        <w:t xml:space="preserve">Módulos de IA: </w:t>
      </w:r>
      <w:r>
        <w:rPr>
          <w:b w:val="0"/>
          <w:bCs w:val="0"/>
          <w:i w:val="0"/>
          <w:color w:val="5c3f45"/>
          <w:sz w:val="20"/>
          <w:szCs w:val="20"/>
        </w:rPr>
      </w:r>
    </w:p>
    <w:p w14:paraId="143E786E">
      <w:pPr>
        <w:pBdr/>
        <w:spacing w:after="240" w:before="0"/>
        <w:ind/>
        <w:rPr>
          <w:b w:val="0"/>
          <w:bCs w:val="0"/>
          <w:i w:val="0"/>
          <w:color w:val="5c3f45"/>
          <w:sz w:val="20"/>
          <w:szCs w:val="20"/>
        </w:rPr>
      </w:pPr>
      <w:r>
        <w:rPr>
          <w:b w:val="0"/>
          <w:i w:val="0"/>
          <w:color w:val="5c3f45"/>
          <w:sz w:val="20"/>
        </w:rPr>
        <w:t xml:space="preserve">1) Chatbot Aria  </w:t>
      </w:r>
      <w:r/>
      <w:r/>
    </w:p>
    <w:p w14:paraId="1A902E2D">
      <w:pPr>
        <w:pBdr/>
        <w:spacing w:after="240" w:before="0"/>
        <w:ind/>
        <w:rPr>
          <w:b w:val="0"/>
          <w:bCs w:val="0"/>
          <w:i w:val="0"/>
          <w:color w:val="5c3f45"/>
          <w:sz w:val="20"/>
          <w:szCs w:val="20"/>
        </w:rPr>
      </w:pPr>
      <w:r>
        <w:rPr>
          <w:b w:val="0"/>
          <w:i w:val="0"/>
          <w:color w:val="5c3f45"/>
          <w:sz w:val="20"/>
        </w:rPr>
        <w:t xml:space="preserve">2) Asesor Visual y RAG  </w:t>
      </w:r>
      <w:r/>
    </w:p>
    <w:p w14:paraId="58C41EAC">
      <w:pPr>
        <w:pBdr/>
        <w:spacing w:after="240" w:before="0"/>
        <w:ind/>
        <w:rPr>
          <w:b w:val="0"/>
          <w:bCs w:val="0"/>
          <w:i w:val="0"/>
          <w:color w:val="5c3f45"/>
          <w:sz w:val="20"/>
          <w:szCs w:val="20"/>
        </w:rPr>
      </w:pPr>
      <w:r>
        <w:rPr>
          <w:b w:val="0"/>
          <w:i w:val="0"/>
          <w:color w:val="5c3f45"/>
          <w:sz w:val="20"/>
        </w:rPr>
        <w:t xml:space="preserve">3) Ayudante de Administración  </w:t>
      </w:r>
      <w:r/>
    </w:p>
    <w:p w14:paraId="13B780BE">
      <w:pPr>
        <w:pBdr/>
        <w:spacing w:after="240" w:before="0"/>
        <w:ind/>
        <w:rPr>
          <w:b w:val="0"/>
          <w:bCs w:val="0"/>
          <w:i w:val="0"/>
          <w:color w:val="5c3f45"/>
          <w:sz w:val="20"/>
          <w:szCs w:val="20"/>
          <w:highlight w:val="none"/>
        </w:rPr>
      </w:pPr>
      <w:r>
        <w:rPr>
          <w:b w:val="0"/>
          <w:i w:val="0"/>
          <w:color w:val="5c3f45"/>
          <w:sz w:val="20"/>
        </w:rPr>
        <w:t xml:space="preserve">4) Previsión de Demanda e Inventario</w:t>
      </w:r>
      <w:r/>
    </w:p>
    <w:p w14:paraId="6DF4855A">
      <w:pPr>
        <w:pBdr/>
        <w:spacing w:after="240" w:before="0"/>
        <w:ind/>
        <w:rPr>
          <w:lang w:val="es-PE"/>
        </w:rPr>
      </w:pPr>
      <w:r>
        <w:rPr>
          <w:b w:val="0"/>
          <w:i w:val="0"/>
          <w:color w:val="5c3f45"/>
          <w:sz w:val="20"/>
          <w:highlight w:val="none"/>
          <w:lang w:val="es-ES"/>
        </w:rPr>
        <w:t xml:space="preserve">Alumno: Asto Gonzales Frans Derin </w:t>
      </w:r>
      <w:r>
        <w:rPr>
          <w:b w:val="0"/>
          <w:i w:val="0"/>
          <w:color w:val="5c3f45"/>
          <w:sz w:val="20"/>
          <w:highlight w:val="none"/>
          <w:lang w:val="es-PE" w:bidi="es-PE"/>
        </w:rPr>
      </w:r>
      <w:r>
        <w:rPr>
          <w:b w:val="0"/>
          <w:i w:val="0"/>
          <w:color w:val="5c3f45"/>
          <w:sz w:val="20"/>
          <w:highlight w:val="none"/>
        </w:rPr>
      </w:r>
      <w:r>
        <w:rPr>
          <w:lang w:val="es-PE"/>
        </w:rPr>
      </w:r>
    </w:p>
    <w:p>
      <w:pPr>
        <w:pStyle w:val="693"/>
        <w:pBdr/>
        <w:spacing/>
        <w:ind/>
        <w:rPr/>
      </w:pPr>
      <w:r>
        <w:t xml:space="preserve">1. Definición del Problema Complejo</w:t>
      </w:r>
      <w:r/>
    </w:p>
    <w:p>
      <w:pPr>
        <w:pBdr/>
        <w:spacing w:after="120" w:before="0"/>
        <w:ind/>
        <w:rPr/>
      </w:pPr>
      <w:r>
        <w:rPr>
          <w:b w:val="0"/>
          <w:i w:val="0"/>
          <w:color w:val="1c1b1d"/>
          <w:sz w:val="22"/>
        </w:rPr>
        <w:t xml:space="preserve">El comercio de moda omnicanal (tienda web, punto de venta físico, almacén y venta por catálogo) enfrenta ineficiencias dinám</w:t>
      </w:r>
      <w:r>
        <w:rPr>
          <w:b w:val="0"/>
          <w:i w:val="0"/>
          <w:color w:val="1c1b1d"/>
          <w:sz w:val="22"/>
        </w:rPr>
        <w:t xml:space="preserve">icas tanto en la experiencia de compra como en la operación administrativa. Los modelos tradicionales de e-commerce sufren de asesoría impersonal, compras mal informadas sobre qué prendas favorecen a cada cuerpo y decisiones de reposición tomadas a ciegas.</w:t>
      </w:r>
      <w:r/>
    </w:p>
    <w:p>
      <w:pPr>
        <w:pBdr/>
        <w:spacing w:after="120" w:before="0"/>
        <w:ind/>
        <w:rPr/>
      </w:pPr>
      <w:r>
        <w:rPr>
          <w:b w:val="0"/>
          <w:i w:val="0"/>
          <w:color w:val="1c1b1d"/>
          <w:sz w:val="22"/>
        </w:rPr>
        <w:t xml:space="preserve">A continuación se detallan los cuatro problemas complejos que el sistema resuelve:</w:t>
      </w:r>
      <w:r/>
    </w:p>
    <w:p>
      <w:pPr>
        <w:pStyle w:val="723"/>
        <w:pBdr/>
        <w:spacing w:after="60"/>
        <w:ind/>
        <w:rPr/>
      </w:pPr>
      <w:r>
        <w:rPr>
          <w:rFonts w:ascii="Calibri" w:hAnsi="Calibri"/>
          <w:sz w:val="22"/>
        </w:rPr>
        <w:t xml:space="preserve">Asesoría impersonal y recomendaciones genéricas: el cliente no recibe sugerencias basadas en su historial,</w:t>
      </w:r>
      <w:r>
        <w:rPr>
          <w:rFonts w:ascii="Calibri" w:hAnsi="Calibri"/>
          <w:sz w:val="22"/>
        </w:rPr>
        <w:t xml:space="preserve"> tallas ni preferencias, y el buscador tradicional por palabra clave falla cuando el usuario describe lo que quiere en lenguaje natural ("algo elegante para una cena en tonos fríos") o cuando solo dispone de una fotografía de la prenda que vio en la calle.</w:t>
      </w:r>
      <w:r/>
    </w:p>
    <w:p>
      <w:pPr>
        <w:pStyle w:val="723"/>
        <w:pBdr/>
        <w:spacing w:after="60"/>
        <w:ind/>
        <w:rPr/>
      </w:pPr>
      <w:r>
        <w:rPr>
          <w:rFonts w:ascii="Calibri" w:hAnsi="Calibri"/>
          <w:sz w:val="22"/>
        </w:rPr>
        <w:t xml:space="preserve">Decisiones de inventario a ciegas: la administración no cuenta con previsión de demanda ni detección de anomalías, por lo que acumula quiebres de </w:t>
      </w:r>
      <w:r>
        <w:rPr>
          <w:rFonts w:ascii="Calibri" w:hAnsi="Calibri"/>
          <w:sz w:val="22"/>
        </w:rPr>
        <w:t xml:space="preserve">stock en productos clave y sobredimensiona artículos de lenta rotación. En moda esto se agrava porque la mayoría de combinaciones SKU/tienda/semana venden cero, y los modelos de series temporales clásicos (ARIMA, ETS) no funcionan con demanda intermitente.</w:t>
      </w:r>
      <w:r/>
    </w:p>
    <w:p>
      <w:pPr>
        <w:pStyle w:val="723"/>
        <w:pBdr/>
        <w:spacing w:after="60"/>
        <w:ind/>
        <w:rPr/>
      </w:pPr>
      <w:r>
        <w:rPr>
          <w:rFonts w:ascii="Calibri" w:hAnsi="Calibri"/>
          <w:sz w:val="22"/>
        </w:rPr>
        <w:t xml:space="preserve">Carga operativa repetitiva en soporte y administración: las consultas frecuentes (precios, stock, estado de pedidos, reportes) y los ajustes manuales consumen tiempo del personal, restando capacidad de atención comercial.</w:t>
      </w:r>
      <w:r/>
    </w:p>
    <w:p>
      <w:pPr>
        <w:pStyle w:val="723"/>
        <w:pBdr/>
        <w:spacing w:after="60"/>
        <w:ind/>
        <w:rPr/>
      </w:pPr>
      <w:r>
        <w:rPr>
          <w:rFonts w:ascii="Calibri" w:hAnsi="Calibri"/>
          <w:sz w:val="22"/>
        </w:rPr>
        <w:t xml:space="preserve">Opacidad de la propia IA: sin telemetría de consumo, coste y latencia, y sin posibilidad de editar las reglas de negocio que el modelo aplica, la organización no puede auditar ni gobernar el comportamiento de sus asistentes automáticos.</w:t>
      </w:r>
      <w:r/>
    </w:p>
    <w:p>
      <w:pPr>
        <w:pStyle w:val="693"/>
        <w:pBdr/>
        <w:spacing/>
        <w:ind/>
        <w:rPr/>
      </w:pPr>
      <w:r>
        <w:t xml:space="preserve">2. Definición del Aplicativo Web Básico</w:t>
      </w:r>
      <w:r/>
    </w:p>
    <w:p>
      <w:pPr>
        <w:pBdr/>
        <w:spacing w:after="120" w:before="0"/>
        <w:ind/>
        <w:rPr/>
      </w:pPr>
      <w:r>
        <w:rPr>
          <w:b w:val="0"/>
          <w:i w:val="0"/>
          <w:color w:val="1c1b1d"/>
          <w:sz w:val="22"/>
        </w:rPr>
        <w:t xml:space="preserve">El proyecto se estructura como una aplicación web monolítica ligera pero escalable, diseñada para operar de forma ágil bajo una pila de tecnologías estándar:</w:t>
      </w:r>
      <w:r/>
    </w:p>
    <w:tbl>
      <w:tblPr>
        <w:tblStyle w:val="753"/>
        <w:jc w:val="center"/>
        <w:tblW w:w="0" w:type="auto"/>
        <w:tblBorders/>
        <w:tblLook w:val="04A0" w:firstRow="1" w:lastRow="0" w:firstColumn="1" w:lastColumn="0" w:noHBand="0" w:noVBand="1"/>
      </w:tblPr>
      <w:tblGrid>
        <w:gridCol w:w="3216"/>
        <w:gridCol w:w="3216"/>
        <w:gridCol w:w="3216"/>
      </w:tblGrid>
      <w:tr>
        <w:trPr/>
        <w:tc>
          <w:tcPr>
            <w:shd w:val="clear" w:color="auto" w:fill="b60055"/>
            <w:tcBorders/>
            <w:tcW w:w="2160" w:type="dxa"/>
          </w:tcPr>
          <w:p>
            <w:pPr>
              <w:pBdr/>
              <w:spacing/>
              <w:ind/>
              <w:rPr/>
            </w:pPr>
            <w:r>
              <w:rPr>
                <w:b/>
                <w:color w:val="ffffff"/>
                <w:sz w:val="20"/>
              </w:rPr>
              <w:t xml:space="preserve">Capa de Arquitectura</w:t>
            </w:r>
            <w:r/>
          </w:p>
        </w:tc>
        <w:tc>
          <w:tcPr>
            <w:shd w:val="clear" w:color="auto" w:fill="b60055"/>
            <w:tcBorders/>
            <w:tcW w:w="3024" w:type="dxa"/>
          </w:tcPr>
          <w:p>
            <w:pPr>
              <w:pBdr/>
              <w:spacing/>
              <w:ind/>
              <w:rPr/>
            </w:pPr>
            <w:r>
              <w:rPr>
                <w:b/>
                <w:color w:val="ffffff"/>
                <w:sz w:val="20"/>
              </w:rPr>
              <w:t xml:space="preserve">Tecnología Seleccionada</w:t>
            </w:r>
            <w:r/>
          </w:p>
        </w:tc>
        <w:tc>
          <w:tcPr>
            <w:shd w:val="clear" w:color="auto" w:fill="b60055"/>
            <w:tcBorders/>
            <w:tcW w:w="4464" w:type="dxa"/>
          </w:tcPr>
          <w:p>
            <w:pPr>
              <w:pBdr/>
              <w:spacing/>
              <w:ind/>
              <w:rPr/>
            </w:pPr>
            <w:r>
              <w:rPr>
                <w:b/>
                <w:color w:val="ffffff"/>
                <w:sz w:val="20"/>
              </w:rPr>
              <w:t xml:space="preserve">Rol en el Sistema</w:t>
            </w:r>
            <w:r/>
          </w:p>
        </w:tc>
      </w:tr>
      <w:tr>
        <w:trPr/>
        <w:tc>
          <w:tcPr>
            <w:tcBorders/>
            <w:tcW w:w="2160" w:type="dxa"/>
          </w:tcPr>
          <w:p>
            <w:pPr>
              <w:pBdr/>
              <w:spacing/>
              <w:ind/>
              <w:rPr/>
            </w:pPr>
            <w:r>
              <w:rPr>
                <w:rFonts w:ascii="Calibri" w:hAnsi="Calibri"/>
                <w:sz w:val="19"/>
              </w:rPr>
              <w:t xml:space="preserve">Frontend (Interfaz)</w:t>
            </w:r>
            <w:r/>
          </w:p>
        </w:tc>
        <w:tc>
          <w:tcPr>
            <w:tcBorders/>
            <w:tcW w:w="3024" w:type="dxa"/>
          </w:tcPr>
          <w:p>
            <w:pPr>
              <w:pBdr/>
              <w:spacing/>
              <w:ind/>
              <w:rPr/>
            </w:pPr>
            <w:r>
              <w:rPr>
                <w:rFonts w:ascii="Calibri" w:hAnsi="Calibri"/>
                <w:sz w:val="19"/>
              </w:rPr>
              <w:t xml:space="preserve">HTML5, Tailwind CSS, JavaScript (Vanilla)</w:t>
            </w:r>
            <w:r/>
          </w:p>
        </w:tc>
        <w:tc>
          <w:tcPr>
            <w:tcBorders/>
            <w:tcW w:w="4464" w:type="dxa"/>
          </w:tcPr>
          <w:p>
            <w:pPr>
              <w:pBdr/>
              <w:spacing/>
              <w:ind/>
              <w:rPr/>
            </w:pPr>
            <w:r>
              <w:rPr>
                <w:rFonts w:ascii="Calibri" w:hAnsi="Calibri"/>
                <w:sz w:val="19"/>
              </w:rPr>
              <w:t xml:space="preserve">Interfaz dinámica para clientes, personal de tienda y administradores. Captura de eventos y actualización asíncrona (Fetch API + SSE). Sin paso de compilación.</w:t>
            </w:r>
            <w:r/>
          </w:p>
        </w:tc>
      </w:tr>
      <w:tr>
        <w:trPr/>
        <w:tc>
          <w:tcPr>
            <w:shd w:val="clear" w:color="auto" w:fill="f6f2f5"/>
            <w:tcBorders/>
            <w:tcW w:w="2160" w:type="dxa"/>
          </w:tcPr>
          <w:p>
            <w:pPr>
              <w:pBdr/>
              <w:spacing/>
              <w:ind/>
              <w:rPr/>
            </w:pPr>
            <w:r>
              <w:rPr>
                <w:rFonts w:ascii="Calibri" w:hAnsi="Calibri"/>
                <w:sz w:val="19"/>
              </w:rPr>
              <w:t xml:space="preserve">Backend (Lógica)</w:t>
            </w:r>
            <w:r/>
          </w:p>
        </w:tc>
        <w:tc>
          <w:tcPr>
            <w:shd w:val="clear" w:color="auto" w:fill="f6f2f5"/>
            <w:tcBorders/>
            <w:tcW w:w="3024" w:type="dxa"/>
          </w:tcPr>
          <w:p>
            <w:pPr>
              <w:pBdr/>
              <w:spacing/>
              <w:ind/>
              <w:rPr/>
            </w:pPr>
            <w:r>
              <w:rPr>
                <w:rFonts w:ascii="Calibri" w:hAnsi="Calibri"/>
                <w:sz w:val="19"/>
              </w:rPr>
              <w:t xml:space="preserve">Node.js + Express</w:t>
            </w:r>
            <w:r/>
          </w:p>
        </w:tc>
        <w:tc>
          <w:tcPr>
            <w:shd w:val="clear" w:color="auto" w:fill="f6f2f5"/>
            <w:tcBorders/>
            <w:tcW w:w="4464" w:type="dxa"/>
          </w:tcPr>
          <w:p>
            <w:pPr>
              <w:pBdr/>
              <w:spacing/>
              <w:ind/>
              <w:rPr/>
            </w:pPr>
            <w:r>
              <w:rPr>
                <w:rFonts w:ascii="Calibri" w:hAnsi="Calibri"/>
                <w:sz w:val="19"/>
              </w:rPr>
              <w:t xml:space="preserve">Lógica de negocio, autenticación por roles, orquestación de consultas, planificación de consultas al LLM, re-ranking y comunicación HTTPS con la API de IA.</w:t>
            </w:r>
            <w:r/>
          </w:p>
        </w:tc>
      </w:tr>
      <w:tr>
        <w:trPr/>
        <w:tc>
          <w:tcPr>
            <w:tcBorders/>
            <w:tcW w:w="2160" w:type="dxa"/>
          </w:tcPr>
          <w:p>
            <w:pPr>
              <w:pBdr/>
              <w:spacing/>
              <w:ind/>
              <w:rPr/>
            </w:pPr>
            <w:r>
              <w:rPr>
                <w:rFonts w:ascii="Calibri" w:hAnsi="Calibri"/>
                <w:sz w:val="19"/>
              </w:rPr>
              <w:t xml:space="preserve">Base de Datos</w:t>
            </w:r>
            <w:r/>
          </w:p>
        </w:tc>
        <w:tc>
          <w:tcPr>
            <w:tcBorders/>
            <w:tcW w:w="3024" w:type="dxa"/>
          </w:tcPr>
          <w:p>
            <w:pPr>
              <w:pBdr/>
              <w:spacing/>
              <w:ind/>
              <w:rPr/>
            </w:pPr>
            <w:r>
              <w:rPr>
                <w:rFonts w:ascii="Calibri" w:hAnsi="Calibri"/>
                <w:sz w:val="19"/>
              </w:rPr>
              <w:t xml:space="preserve">PostgreSQL 16 + extensión pgvector</w:t>
            </w:r>
            <w:r/>
          </w:p>
        </w:tc>
        <w:tc>
          <w:tcPr>
            <w:tcBorders/>
            <w:tcW w:w="4464" w:type="dxa"/>
          </w:tcPr>
          <w:p>
            <w:pPr>
              <w:pBdr/>
              <w:spacing/>
              <w:ind/>
              <w:rPr/>
            </w:pPr>
            <w:r>
              <w:rPr>
                <w:rFonts w:ascii="Calibri" w:hAnsi="Calibri"/>
                <w:sz w:val="19"/>
              </w:rPr>
              <w:t xml:space="preserve">Almacenamiento relacional y búsqueda vectorial en el mismo motor. Evita desplegar un motor vectorial adicional para 353 productos.</w:t>
            </w:r>
            <w:r/>
          </w:p>
        </w:tc>
      </w:tr>
      <w:tr>
        <w:trPr/>
        <w:tc>
          <w:tcPr>
            <w:shd w:val="clear" w:color="auto" w:fill="f6f2f5"/>
            <w:tcBorders/>
            <w:tcW w:w="2160" w:type="dxa"/>
          </w:tcPr>
          <w:p>
            <w:pPr>
              <w:pBdr/>
              <w:spacing/>
              <w:ind/>
              <w:rPr/>
            </w:pPr>
            <w:r>
              <w:rPr>
                <w:rFonts w:ascii="Calibri" w:hAnsi="Calibri"/>
                <w:sz w:val="19"/>
              </w:rPr>
              <w:t xml:space="preserve">Motor de visión y lenguaje</w:t>
            </w:r>
            <w:r/>
          </w:p>
        </w:tc>
        <w:tc>
          <w:tcPr>
            <w:shd w:val="clear" w:color="auto" w:fill="f6f2f5"/>
            <w:tcBorders/>
            <w:tcW w:w="3024" w:type="dxa"/>
          </w:tcPr>
          <w:p>
            <w:pPr>
              <w:pBdr/>
              <w:spacing/>
              <w:ind/>
              <w:rPr/>
            </w:pPr>
            <w:r>
              <w:rPr>
                <w:rFonts w:ascii="Calibri" w:hAnsi="Calibri"/>
                <w:sz w:val="19"/>
              </w:rPr>
              <w:t xml:space="preserve">FashionCLIP (512 dims, 150 M parámetros) + DeepSeek</w:t>
            </w:r>
            <w:r/>
          </w:p>
        </w:tc>
        <w:tc>
          <w:tcPr>
            <w:shd w:val="clear" w:color="auto" w:fill="f6f2f5"/>
            <w:tcBorders/>
            <w:tcW w:w="4464" w:type="dxa"/>
          </w:tcPr>
          <w:p>
            <w:pPr>
              <w:pBdr/>
              <w:spacing/>
              <w:ind/>
              <w:rPr/>
            </w:pPr>
            <w:r>
              <w:rPr>
                <w:rFonts w:ascii="Calibri" w:hAnsi="Calibri"/>
                <w:sz w:val="19"/>
              </w:rPr>
              <w:t xml:space="preserve">Los embeddings multimodales viven en un microservicio Python; el LLM se consume por API externa desde el backend.</w:t>
            </w:r>
            <w:r/>
          </w:p>
        </w:tc>
      </w:tr>
      <w:tr>
        <w:trPr/>
        <w:tc>
          <w:tcPr>
            <w:tcBorders/>
            <w:tcW w:w="2160" w:type="dxa"/>
          </w:tcPr>
          <w:p>
            <w:pPr>
              <w:pBdr/>
              <w:spacing/>
              <w:ind/>
              <w:rPr/>
            </w:pPr>
            <w:r>
              <w:rPr>
                <w:rFonts w:ascii="Calibri" w:hAnsi="Calibri"/>
                <w:sz w:val="19"/>
              </w:rPr>
              <w:t xml:space="preserve">Analítica predictiva</w:t>
            </w:r>
            <w:r/>
          </w:p>
        </w:tc>
        <w:tc>
          <w:tcPr>
            <w:tcBorders/>
            <w:tcW w:w="3024" w:type="dxa"/>
          </w:tcPr>
          <w:p>
            <w:pPr>
              <w:pBdr/>
              <w:spacing/>
              <w:ind/>
              <w:rPr/>
            </w:pPr>
            <w:r>
              <w:rPr>
                <w:rFonts w:ascii="Calibri" w:hAnsi="Calibri"/>
                <w:sz w:val="19"/>
              </w:rPr>
              <w:t xml:space="preserve">XGBoost + scikit-learn + SHAP</w:t>
            </w:r>
            <w:r/>
          </w:p>
        </w:tc>
        <w:tc>
          <w:tcPr>
            <w:tcBorders/>
            <w:tcW w:w="4464" w:type="dxa"/>
          </w:tcPr>
          <w:p>
            <w:pPr>
              <w:pBdr/>
              <w:spacing/>
              <w:ind/>
              <w:rPr/>
            </w:pPr>
            <w:r>
              <w:rPr>
                <w:rFonts w:ascii="Calibri" w:hAnsi="Calibri"/>
                <w:sz w:val="19"/>
              </w:rPr>
              <w:t xml:space="preserve">Modelo de dos etapas para demanda intermitente, fusión multimodal para productos sin historial y explicabilidad de las predicciones.</w:t>
            </w:r>
            <w:r/>
          </w:p>
        </w:tc>
      </w:tr>
      <w:tr>
        <w:trPr/>
        <w:tc>
          <w:tcPr>
            <w:shd w:val="clear" w:color="auto" w:fill="f6f2f5"/>
            <w:tcBorders/>
            <w:tcW w:w="2160" w:type="dxa"/>
          </w:tcPr>
          <w:p>
            <w:pPr>
              <w:pBdr/>
              <w:spacing/>
              <w:ind/>
              <w:rPr/>
            </w:pPr>
            <w:r>
              <w:rPr>
                <w:rFonts w:ascii="Calibri" w:hAnsi="Calibri"/>
                <w:sz w:val="19"/>
              </w:rPr>
              <w:t xml:space="preserve">Microservicio de embeddings</w:t>
            </w:r>
            <w:r/>
          </w:p>
        </w:tc>
        <w:tc>
          <w:tcPr>
            <w:shd w:val="clear" w:color="auto" w:fill="f6f2f5"/>
            <w:tcBorders/>
            <w:tcW w:w="3024" w:type="dxa"/>
          </w:tcPr>
          <w:p>
            <w:pPr>
              <w:pBdr/>
              <w:spacing/>
              <w:ind/>
              <w:rPr/>
            </w:pPr>
            <w:r>
              <w:rPr>
                <w:rFonts w:ascii="Calibri" w:hAnsi="Calibri"/>
                <w:sz w:val="19"/>
              </w:rPr>
              <w:t xml:space="preserve">Python 3.14 + PyTorch (CPU) + open_clip</w:t>
            </w:r>
            <w:r/>
          </w:p>
        </w:tc>
        <w:tc>
          <w:tcPr>
            <w:shd w:val="clear" w:color="auto" w:fill="f6f2f5"/>
            <w:tcBorders/>
            <w:tcW w:w="4464" w:type="dxa"/>
          </w:tcPr>
          <w:p>
            <w:pPr>
              <w:pBdr/>
              <w:spacing/>
              <w:ind/>
              <w:rPr/>
            </w:pPr>
            <w:r>
              <w:rPr>
                <w:rFonts w:ascii="Calibri" w:hAnsi="Calibri"/>
                <w:sz w:val="19"/>
              </w:rPr>
              <w:t xml:space="preserve">Sirve vectores normalizados por HTTP local. Se ejecuta en CPU por restricción de disco (la rueda CUDA ocupa ~4,5 GB).</w:t>
            </w:r>
            <w:r/>
          </w:p>
        </w:tc>
      </w:tr>
    </w:tbl>
    <w:p>
      <w:pPr>
        <w:pBdr/>
        <w:spacing w:after="80"/>
        <w:ind/>
        <w:rPr/>
      </w:pPr>
      <w:r/>
      <w:r/>
    </w:p>
    <w:p>
      <w:pPr>
        <w:pStyle w:val="693"/>
        <w:pBdr/>
        <w:spacing/>
        <w:ind/>
        <w:rPr/>
      </w:pPr>
      <w:r>
        <w:t xml:space="preserve">3. Caracterización de Requerimientos Funcionales con IA</w:t>
      </w:r>
      <w:r/>
    </w:p>
    <w:p>
      <w:pPr>
        <w:pBdr/>
        <w:spacing w:after="120" w:before="0"/>
        <w:ind/>
        <w:rPr/>
      </w:pPr>
      <w:r>
        <w:rPr>
          <w:b w:val="0"/>
          <w:i w:val="0"/>
          <w:color w:val="1c1b1d"/>
          <w:sz w:val="22"/>
        </w:rPr>
        <w:t xml:space="preserve">La Opción 1 integra Inteligencia Artificial generativa y predictiva mediante API externa y modelos locales en cuatro módulos del sistema.</w:t>
      </w:r>
      <w:r/>
    </w:p>
    <w:p>
      <w:pPr>
        <w:pStyle w:val="694"/>
        <w:pBdr/>
        <w:spacing/>
        <w:ind/>
        <w:rPr/>
      </w:pPr>
      <w:r>
        <w:t xml:space="preserve">RF-01: Chatbot Estilista con Memoria y Contexto (Aria)</w:t>
      </w:r>
      <w:r/>
    </w:p>
    <w:p>
      <w:pPr>
        <w:pStyle w:val="723"/>
        <w:pBdr/>
        <w:spacing w:after="60"/>
        <w:ind/>
        <w:rPr/>
      </w:pPr>
      <w:r>
        <w:rPr>
          <w:rFonts w:ascii="Calibri" w:hAnsi="Calibri"/>
          <w:sz w:val="22"/>
        </w:rPr>
        <w:t xml:space="preserve">Descripción: asistente conversacional que atiende dudas de catálogo, tallas, colores y estado de pedidos, y que aprende de las preferencias declaradas por el cliente.</w:t>
      </w:r>
      <w:r/>
    </w:p>
    <w:p>
      <w:pPr>
        <w:pStyle w:val="723"/>
        <w:pBdr/>
        <w:spacing w:after="60"/>
        <w:ind/>
        <w:rPr/>
      </w:pPr>
      <w:r>
        <w:rPr>
          <w:rFonts w:ascii="Calibri" w:hAnsi="Calibri"/>
          <w:sz w:val="22"/>
        </w:rPr>
        <w:t xml:space="preserve">Subproceso: el cliente escribe en el widget. JavaScript envía la consulta a</w:t>
      </w:r>
      <w:r>
        <w:rPr>
          <w:rFonts w:ascii="Calibri" w:hAnsi="Calibri"/>
          <w:sz w:val="22"/>
        </w:rPr>
        <w:t xml:space="preserve">l backend; el servidor recupera la memoria persistida desde PostgreSQL, consolida el contexto (perfil, pedidos, carrito, catálogo, resultados de búsqueda web) y lo inyecta en el prompt antes de llamar a la API. La respuesta se transmite en streaming (SSE).</w:t>
      </w:r>
      <w:r/>
    </w:p>
    <w:p>
      <w:pPr>
        <w:pStyle w:val="723"/>
        <w:pBdr/>
        <w:spacing w:after="60"/>
        <w:ind/>
        <w:rPr/>
      </w:pPr>
      <w:r>
        <w:rPr>
          <w:rFonts w:ascii="Calibri" w:hAnsi="Calibri"/>
          <w:sz w:val="22"/>
        </w:rPr>
        <w:t xml:space="preserve">Componente IA: modelo de lenguaje con System Prompt delimitado y extracción estructurada de hechos hacia ai_memory.</w:t>
      </w:r>
      <w:r/>
    </w:p>
    <w:p>
      <w:pPr>
        <w:pBdr/>
        <w:spacing w:after="40"/>
        <w:ind/>
        <w:rPr/>
      </w:pPr>
      <w:r>
        <w:rPr>
          <w:b/>
          <w:color w:val="5c3f45"/>
          <w:sz w:val="21"/>
        </w:rPr>
        <w:t xml:space="preserve">Endpoints: </w:t>
      </w:r>
      <w:r>
        <w:rPr>
          <w:color w:val="1c1b1d"/>
          <w:sz w:val="21"/>
        </w:rPr>
        <w:t xml:space="preserve">/api/ai/chat y /api/ai/chat/stream (SSE)</w:t>
      </w:r>
      <w:r/>
    </w:p>
    <w:p>
      <w:pPr>
        <w:pBdr/>
        <w:spacing w:after="40"/>
        <w:ind/>
        <w:rPr/>
      </w:pPr>
      <w:r>
        <w:rPr>
          <w:b/>
          <w:color w:val="5c3f45"/>
          <w:sz w:val="21"/>
        </w:rPr>
        <w:t xml:space="preserve">Proveedor en uso: </w:t>
      </w:r>
      <w:r>
        <w:rPr>
          <w:color w:val="1c1b1d"/>
          <w:sz w:val="21"/>
        </w:rPr>
        <w:t xml:space="preserve">DeepSeek (modelo deepseek-flash). La telemetría registró 1.282 tokens de entrada y 132 de salida en una consulta típica, con coste de US$ 0,000215.</w:t>
      </w:r>
      <w:r/>
    </w:p>
    <w:p>
      <w:pPr>
        <w:pStyle w:val="694"/>
        <w:pBdr/>
        <w:spacing/>
        <w:ind/>
        <w:rPr/>
      </w:pPr>
      <w:r>
        <w:t xml:space="preserve">RF-02: Asesor Visual por Imagen y Recuperación Semántica (RAG)</w:t>
      </w:r>
      <w:r/>
    </w:p>
    <w:p>
      <w:pPr>
        <w:pStyle w:val="723"/>
        <w:pBdr/>
        <w:spacing w:after="60"/>
        <w:ind/>
        <w:rPr/>
      </w:pPr>
      <w:r>
        <w:rPr>
          <w:rFonts w:ascii="Calibri" w:hAnsi="Calibri"/>
          <w:sz w:val="22"/>
        </w:rPr>
        <w:t xml:space="preserve">Descripción: analiza la fotografía de una pren</w:t>
      </w:r>
      <w:r>
        <w:rPr>
          <w:rFonts w:ascii="Calibri" w:hAnsi="Calibri"/>
          <w:sz w:val="22"/>
        </w:rPr>
        <w:t xml:space="preserve">da y devuelve una descripción estructurada (tipo, color, material, ocasión) que alimenta la búsqueda en el catálogo. Además, el asesor responde en lenguaje natural recuperando productos reales por similitud vectorial, no por coincidencia de palabras clave.</w:t>
      </w:r>
      <w:r/>
    </w:p>
    <w:p>
      <w:pPr>
        <w:pStyle w:val="723"/>
        <w:pBdr/>
        <w:spacing w:after="60"/>
        <w:ind/>
        <w:rPr/>
      </w:pPr>
      <w:r>
        <w:rPr>
          <w:rFonts w:ascii="Calibri" w:hAnsi="Calibri"/>
          <w:sz w:val="22"/>
        </w:rPr>
        <w:t xml:space="preserve">Subproceso: el frontend valida la imagen y la envía en base64 o binario; el backend la vectoriza con FashionCLIP y busca por similitud coseno sobre pgvector</w:t>
      </w:r>
      <w:r>
        <w:rPr>
          <w:rFonts w:ascii="Calibri" w:hAnsi="Calibri"/>
          <w:sz w:val="22"/>
        </w:rPr>
        <w:t xml:space="preserve">. En la modalidad de chat, un planificador híbrido extrae filtros estructurados (ocasión, color, precio, género, prenda), recupera 20 candidatos, los re-ordena combinando similitud y atributos, y el LLM genera la respuesta con solo 5 productos en contexto.</w:t>
      </w:r>
      <w:r/>
    </w:p>
    <w:p>
      <w:pPr>
        <w:pStyle w:val="723"/>
        <w:pBdr/>
        <w:spacing w:after="60"/>
        <w:ind/>
        <w:rPr/>
      </w:pPr>
      <w:r>
        <w:rPr>
          <w:rFonts w:ascii="Calibri" w:hAnsi="Calibri"/>
          <w:sz w:val="22"/>
        </w:rPr>
        <w:t xml:space="preserve">Componente IA: FashionCLIP (512 dimensiones) para imagen y texto, planificador híbrido y verificación de grounding posterior.</w:t>
      </w:r>
      <w:r/>
    </w:p>
    <w:p>
      <w:pPr>
        <w:pBdr/>
        <w:spacing w:after="40"/>
        <w:ind/>
        <w:rPr/>
      </w:pPr>
      <w:r>
        <w:rPr>
          <w:b/>
          <w:color w:val="5c3f45"/>
          <w:sz w:val="21"/>
        </w:rPr>
        <w:t xml:space="preserve">Endpoints: </w:t>
      </w:r>
      <w:r>
        <w:rPr>
          <w:color w:val="1c1b1d"/>
          <w:sz w:val="21"/>
        </w:rPr>
        <w:t xml:space="preserve">/api/ai/visual-search, /api/ai/style-chat, /api/ai/embeddings/status</w:t>
      </w:r>
      <w:r/>
    </w:p>
    <w:tbl>
      <w:tblPr>
        <w:tblStyle w:val="753"/>
        <w:jc w:val="center"/>
        <w:tblW w:w="0" w:type="auto"/>
        <w:tblBorders/>
        <w:tblLook w:val="04A0" w:firstRow="1" w:lastRow="0" w:firstColumn="1" w:lastColumn="0" w:noHBand="0" w:noVBand="1"/>
      </w:tblPr>
      <w:tblGrid>
        <w:gridCol w:w="2412"/>
        <w:gridCol w:w="2412"/>
        <w:gridCol w:w="2412"/>
        <w:gridCol w:w="2412"/>
      </w:tblGrid>
      <w:tr>
        <w:trPr/>
        <w:tc>
          <w:tcPr>
            <w:shd w:val="clear" w:color="auto" w:fill="b60055"/>
            <w:tcBorders/>
            <w:tcW w:w="4320" w:type="dxa"/>
          </w:tcPr>
          <w:p>
            <w:pPr>
              <w:pBdr/>
              <w:spacing/>
              <w:ind/>
              <w:rPr/>
            </w:pPr>
            <w:r>
              <w:rPr>
                <w:b/>
                <w:color w:val="ffffff"/>
                <w:sz w:val="20"/>
              </w:rPr>
              <w:t xml:space="preserve">Criterio de aceptación</w:t>
            </w:r>
            <w:r/>
          </w:p>
        </w:tc>
        <w:tc>
          <w:tcPr>
            <w:shd w:val="clear" w:color="auto" w:fill="b60055"/>
            <w:tcBorders/>
            <w:tcW w:w="1584" w:type="dxa"/>
          </w:tcPr>
          <w:p>
            <w:pPr>
              <w:pBdr/>
              <w:spacing/>
              <w:ind/>
              <w:rPr/>
            </w:pPr>
            <w:r>
              <w:rPr>
                <w:b/>
                <w:color w:val="ffffff"/>
                <w:sz w:val="20"/>
              </w:rPr>
              <w:t xml:space="preserve">Umbral</w:t>
            </w:r>
            <w:r/>
          </w:p>
        </w:tc>
        <w:tc>
          <w:tcPr>
            <w:shd w:val="clear" w:color="auto" w:fill="b60055"/>
            <w:tcBorders/>
            <w:tcW w:w="2304" w:type="dxa"/>
          </w:tcPr>
          <w:p>
            <w:pPr>
              <w:pBdr/>
              <w:spacing/>
              <w:ind/>
              <w:rPr/>
            </w:pPr>
            <w:r>
              <w:rPr>
                <w:b/>
                <w:color w:val="ffffff"/>
                <w:sz w:val="20"/>
              </w:rPr>
              <w:t xml:space="preserve">Medido</w:t>
            </w:r>
            <w:r/>
          </w:p>
        </w:tc>
        <w:tc>
          <w:tcPr>
            <w:shd w:val="clear" w:color="auto" w:fill="b60055"/>
            <w:tcBorders/>
            <w:tcW w:w="1440" w:type="dxa"/>
          </w:tcPr>
          <w:p>
            <w:pPr>
              <w:pBdr/>
              <w:spacing/>
              <w:ind/>
              <w:rPr/>
            </w:pPr>
            <w:r>
              <w:rPr>
                <w:b/>
                <w:color w:val="ffffff"/>
                <w:sz w:val="20"/>
              </w:rPr>
              <w:t xml:space="preserve">Estado</w:t>
            </w:r>
            <w:r/>
          </w:p>
        </w:tc>
      </w:tr>
      <w:tr>
        <w:trPr/>
        <w:tc>
          <w:tcPr>
            <w:tcBorders/>
            <w:tcW w:w="4320" w:type="dxa"/>
          </w:tcPr>
          <w:p>
            <w:pPr>
              <w:pBdr/>
              <w:spacing/>
              <w:ind/>
              <w:rPr/>
            </w:pPr>
            <w:r>
              <w:rPr>
                <w:rFonts w:ascii="Calibri" w:hAnsi="Calibri"/>
                <w:sz w:val="19"/>
              </w:rPr>
              <w:t xml:space="preserve">Precisión del asesor (productos citados que existen)</w:t>
            </w:r>
            <w:r/>
          </w:p>
        </w:tc>
        <w:tc>
          <w:tcPr>
            <w:tcBorders/>
            <w:tcW w:w="1584" w:type="dxa"/>
          </w:tcPr>
          <w:p>
            <w:pPr>
              <w:pBdr/>
              <w:spacing/>
              <w:ind/>
              <w:rPr/>
            </w:pPr>
            <w:r>
              <w:rPr>
                <w:rFonts w:ascii="Calibri" w:hAnsi="Calibri"/>
                <w:sz w:val="19"/>
              </w:rPr>
              <w:t xml:space="preserve">100 %</w:t>
            </w:r>
            <w:r/>
          </w:p>
        </w:tc>
        <w:tc>
          <w:tcPr>
            <w:tcBorders/>
            <w:tcW w:w="2304" w:type="dxa"/>
          </w:tcPr>
          <w:p>
            <w:pPr>
              <w:pBdr/>
              <w:spacing/>
              <w:ind/>
              <w:rPr/>
            </w:pPr>
            <w:r>
              <w:rPr>
                <w:rFonts w:ascii="Calibri" w:hAnsi="Calibri"/>
                <w:sz w:val="19"/>
              </w:rPr>
              <w:t xml:space="preserve">100,0 %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4320" w:type="dxa"/>
          </w:tcPr>
          <w:p>
            <w:pPr>
              <w:pBdr/>
              <w:spacing/>
              <w:ind/>
              <w:rPr/>
            </w:pPr>
            <w:r>
              <w:rPr>
                <w:rFonts w:ascii="Calibri" w:hAnsi="Calibri"/>
                <w:sz w:val="19"/>
              </w:rPr>
              <w:t xml:space="preserve">Latencia del chat (p95)</w:t>
            </w:r>
            <w:r/>
          </w:p>
        </w:tc>
        <w:tc>
          <w:tcPr>
            <w:shd w:val="clear" w:color="auto" w:fill="f6f2f5"/>
            <w:tcBorders/>
            <w:tcW w:w="1584" w:type="dxa"/>
          </w:tcPr>
          <w:p>
            <w:pPr>
              <w:pBdr/>
              <w:spacing/>
              <w:ind/>
              <w:rPr/>
            </w:pPr>
            <w:r>
              <w:rPr>
                <w:rFonts w:ascii="Calibri" w:hAnsi="Calibri"/>
                <w:sz w:val="19"/>
              </w:rPr>
              <w:t xml:space="preserve">&lt; 3 s</w:t>
            </w:r>
            <w:r/>
          </w:p>
        </w:tc>
        <w:tc>
          <w:tcPr>
            <w:shd w:val="clear" w:color="auto" w:fill="f6f2f5"/>
            <w:tcBorders/>
            <w:tcW w:w="2304" w:type="dxa"/>
          </w:tcPr>
          <w:p>
            <w:pPr>
              <w:pBdr/>
              <w:spacing/>
              <w:ind/>
              <w:rPr/>
            </w:pPr>
            <w:r>
              <w:rPr>
                <w:rFonts w:ascii="Calibri" w:hAnsi="Calibri"/>
                <w:sz w:val="19"/>
              </w:rPr>
              <w:t xml:space="preserve">2.890 ms (p50 1.946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4320" w:type="dxa"/>
          </w:tcPr>
          <w:p>
            <w:pPr>
              <w:pBdr/>
              <w:spacing/>
              <w:ind/>
              <w:rPr/>
            </w:pPr>
            <w:r>
              <w:rPr>
                <w:rFonts w:ascii="Calibri" w:hAnsi="Calibri"/>
                <w:sz w:val="19"/>
              </w:rPr>
              <w:t xml:space="preserve">Acierto de búsqueda visual top-3</w:t>
            </w:r>
            <w:r/>
          </w:p>
        </w:tc>
        <w:tc>
          <w:tcPr>
            <w:tcBorders/>
            <w:tcW w:w="1584" w:type="dxa"/>
          </w:tcPr>
          <w:p>
            <w:pPr>
              <w:pBdr/>
              <w:spacing/>
              <w:ind/>
              <w:rPr/>
            </w:pPr>
            <w:r>
              <w:rPr>
                <w:rFonts w:ascii="Calibri" w:hAnsi="Calibri"/>
                <w:sz w:val="19"/>
              </w:rPr>
              <w:t xml:space="preserve">≥ 80 %</w:t>
            </w:r>
            <w:r/>
          </w:p>
        </w:tc>
        <w:tc>
          <w:tcPr>
            <w:tcBorders/>
            <w:tcW w:w="2304" w:type="dxa"/>
          </w:tcPr>
          <w:p>
            <w:pPr>
              <w:pBdr/>
              <w:spacing/>
              <w:ind/>
              <w:rPr/>
            </w:pPr>
            <w:r>
              <w:rPr>
                <w:rFonts w:ascii="Calibri" w:hAnsi="Calibri"/>
                <w:sz w:val="19"/>
              </w:rPr>
              <w:t xml:space="preserve">95,5 %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4320" w:type="dxa"/>
          </w:tcPr>
          <w:p>
            <w:pPr>
              <w:pBdr/>
              <w:spacing/>
              <w:ind/>
              <w:rPr/>
            </w:pPr>
            <w:r>
              <w:rPr>
                <w:rFonts w:ascii="Calibri" w:hAnsi="Calibri"/>
                <w:sz w:val="19"/>
              </w:rPr>
              <w:t xml:space="preserve">Latencia de búsqueda visual (p95)</w:t>
            </w:r>
            <w:r/>
          </w:p>
        </w:tc>
        <w:tc>
          <w:tcPr>
            <w:shd w:val="clear" w:color="auto" w:fill="f6f2f5"/>
            <w:tcBorders/>
            <w:tcW w:w="1584" w:type="dxa"/>
          </w:tcPr>
          <w:p>
            <w:pPr>
              <w:pBdr/>
              <w:spacing/>
              <w:ind/>
              <w:rPr/>
            </w:pPr>
            <w:r>
              <w:rPr>
                <w:rFonts w:ascii="Calibri" w:hAnsi="Calibri"/>
                <w:sz w:val="19"/>
              </w:rPr>
              <w:t xml:space="preserve">&lt; 5 s</w:t>
            </w:r>
            <w:r/>
          </w:p>
        </w:tc>
        <w:tc>
          <w:tcPr>
            <w:shd w:val="clear" w:color="auto" w:fill="f6f2f5"/>
            <w:tcBorders/>
            <w:tcW w:w="2304" w:type="dxa"/>
          </w:tcPr>
          <w:p>
            <w:pPr>
              <w:pBdr/>
              <w:spacing/>
              <w:ind/>
              <w:rPr/>
            </w:pPr>
            <w:r>
              <w:rPr>
                <w:rFonts w:ascii="Calibri" w:hAnsi="Calibri"/>
                <w:sz w:val="19"/>
              </w:rPr>
              <w:t xml:space="preserve">215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4320" w:type="dxa"/>
          </w:tcPr>
          <w:p>
            <w:pPr>
              <w:pBdr/>
              <w:spacing/>
              <w:ind/>
              <w:rPr/>
            </w:pPr>
            <w:r>
              <w:rPr>
                <w:rFonts w:ascii="Calibri" w:hAnsi="Calibri"/>
                <w:sz w:val="19"/>
              </w:rPr>
              <w:t xml:space="preserve">Cobertura de vectores del catálogo</w:t>
            </w:r>
            <w:r/>
          </w:p>
        </w:tc>
        <w:tc>
          <w:tcPr>
            <w:tcBorders/>
            <w:tcW w:w="1584" w:type="dxa"/>
          </w:tcPr>
          <w:p>
            <w:pPr>
              <w:pBdr/>
              <w:spacing/>
              <w:ind/>
              <w:rPr/>
            </w:pPr>
            <w:r>
              <w:rPr>
                <w:rFonts w:ascii="Calibri" w:hAnsi="Calibri"/>
                <w:sz w:val="19"/>
              </w:rPr>
              <w:t xml:space="preserve">≥ 95 %</w:t>
            </w:r>
            <w:r/>
          </w:p>
        </w:tc>
        <w:tc>
          <w:tcPr>
            <w:tcBorders/>
            <w:tcW w:w="2304" w:type="dxa"/>
          </w:tcPr>
          <w:p>
            <w:pPr>
              <w:pBdr/>
              <w:spacing/>
              <w:ind/>
              <w:rPr/>
            </w:pPr>
            <w:r>
              <w:rPr>
                <w:rFonts w:ascii="Calibri" w:hAnsi="Calibri"/>
                <w:sz w:val="19"/>
              </w:rPr>
              <w:t xml:space="preserve">100 % (353/353)</w:t>
            </w:r>
            <w:r/>
          </w:p>
        </w:tc>
        <w:tc>
          <w:tcPr>
            <w:tcBorders/>
            <w:tcW w:w="1440" w:type="dxa"/>
          </w:tcPr>
          <w:p>
            <w:pPr>
              <w:pBdr/>
              <w:spacing/>
              <w:ind/>
              <w:rPr/>
            </w:pPr>
            <w:r>
              <w:rPr>
                <w:rFonts w:ascii="Calibri" w:hAnsi="Calibri"/>
                <w:sz w:val="19"/>
              </w:rPr>
              <w:t xml:space="preserve">Cumple</w:t>
            </w:r>
            <w:r/>
          </w:p>
        </w:tc>
      </w:tr>
    </w:tbl>
    <w:p>
      <w:pPr>
        <w:pBdr/>
        <w:spacing w:after="80"/>
        <w:ind/>
        <w:rPr/>
      </w:pPr>
      <w:r/>
      <w:r/>
    </w:p>
    <w:p>
      <w:pPr>
        <w:pBdr/>
        <w:spacing w:after="120" w:before="0"/>
        <w:ind/>
        <w:rPr/>
      </w:pPr>
      <w:r>
        <w:rPr>
          <w:b w:val="0"/>
          <w:i/>
          <w:color w:val="5c3f45"/>
          <w:sz w:val="20"/>
        </w:rPr>
        <w:t xml:space="preserve">La cobertura al </w:t>
      </w:r>
      <w:r>
        <w:rPr>
          <w:b w:val="0"/>
          <w:i/>
          <w:color w:val="5c3f45"/>
          <w:sz w:val="20"/>
        </w:rPr>
        <w:t xml:space="preserve">95 % se exige sobre los SKU activos. La verificación de grounding comprueba que todo producto nombrado en la respuesta existe en el contexto recuperado; se corrigió para no marcar como invención los rótulos en negrita ni las abreviaturas de nombres reales.</w:t>
      </w:r>
      <w:r/>
    </w:p>
    <w:p>
      <w:pPr>
        <w:pStyle w:val="694"/>
        <w:pBdr/>
        <w:spacing/>
        <w:ind/>
        <w:rPr/>
      </w:pPr>
      <w:r>
        <w:t xml:space="preserve">RF-03: Ayudante IA del Área de Administración</w:t>
      </w:r>
      <w:r/>
    </w:p>
    <w:p>
      <w:pPr>
        <w:pStyle w:val="723"/>
        <w:pBdr/>
        <w:spacing w:after="60"/>
        <w:ind/>
        <w:rPr/>
      </w:pPr>
      <w:r>
        <w:rPr>
          <w:rFonts w:ascii="Calibri" w:hAnsi="Calibri"/>
          <w:sz w:val="22"/>
        </w:rPr>
        <w:t xml:space="preserve">Descripción: módulo de asistencia al panel de almacén que provee previsión, detección de anomalías, clasificación ABC, plan de compras y memoria de clientes, además de responder preguntas en lenguaje natural sobre los datos del negocio.</w:t>
      </w:r>
      <w:r/>
    </w:p>
    <w:p>
      <w:pPr>
        <w:pStyle w:val="723"/>
        <w:pBdr/>
        <w:spacing w:after="60"/>
        <w:ind/>
        <w:rPr/>
      </w:pPr>
      <w:r>
        <w:rPr>
          <w:rFonts w:ascii="Calibri" w:hAnsi="Calibri"/>
          <w:sz w:val="22"/>
        </w:rPr>
        <w:t xml:space="preserve">Subproceso: el administrador abre el panel autenticado; el backend calcula los indicadores sobre PostgreSQL y el frontend los muestra en cinco pestañas (Previsión, Anomalías, ABC, Estrategia y Memoria).</w:t>
      </w:r>
      <w:r/>
    </w:p>
    <w:p>
      <w:pPr>
        <w:pStyle w:val="723"/>
        <w:pBdr/>
        <w:spacing w:after="60"/>
        <w:ind/>
        <w:rPr/>
      </w:pPr>
      <w:r>
        <w:rPr>
          <w:rFonts w:ascii="Calibri" w:hAnsi="Calibri"/>
          <w:sz w:val="22"/>
        </w:rPr>
        <w:t xml:space="preserve">Componente IA: analítica aumentada con consultas de solo lectura y enmascaramiento de datos personales.</w:t>
      </w:r>
      <w:r/>
    </w:p>
    <w:p>
      <w:pPr>
        <w:pBdr/>
        <w:spacing w:after="40"/>
        <w:ind/>
        <w:rPr/>
      </w:pPr>
      <w:r>
        <w:rPr>
          <w:b/>
          <w:color w:val="5c3f45"/>
          <w:sz w:val="21"/>
        </w:rPr>
        <w:t xml:space="preserve">Endpoints: </w:t>
      </w:r>
      <w:r>
        <w:rPr>
          <w:color w:val="1c1b1d"/>
          <w:sz w:val="21"/>
        </w:rPr>
        <w:t xml:space="preserve">/api/admin/ai/insights, /ask, /report, /trends, /purchase-plan, /memory</w:t>
      </w:r>
      <w:r/>
    </w:p>
    <w:p>
      <w:pPr>
        <w:pStyle w:val="694"/>
        <w:pBdr/>
        <w:spacing/>
        <w:ind/>
        <w:rPr/>
      </w:pPr>
      <w:r>
        <w:t xml:space="preserve">RF-04: Previsión de Demanda y Optimización de Inventario</w:t>
      </w:r>
      <w:r/>
    </w:p>
    <w:p>
      <w:pPr>
        <w:pStyle w:val="723"/>
        <w:pBdr/>
        <w:spacing w:after="60"/>
        <w:ind/>
        <w:rPr/>
      </w:pPr>
      <w:r>
        <w:rPr>
          <w:rFonts w:ascii="Calibri" w:hAnsi="Calibri"/>
          <w:sz w:val="22"/>
        </w:rPr>
        <w:t xml:space="preserve">Descripción: predice la demanda semanal por SKU y tienda, y la traduce en decisiones de reposición: stock de seguridad dinámico y política (s, S) con cantidad económica de pedido.</w:t>
      </w:r>
      <w:r/>
    </w:p>
    <w:p>
      <w:pPr>
        <w:pStyle w:val="723"/>
        <w:pBdr/>
        <w:spacing w:after="60"/>
        <w:ind/>
        <w:rPr/>
      </w:pPr>
      <w:r>
        <w:rPr>
          <w:rFonts w:ascii="Calibri" w:hAnsi="Calibri"/>
          <w:sz w:val="22"/>
        </w:rPr>
        <w:t xml:space="preserve">Subproceso: el modelo de dos etapas separa la pregunta "¿habrá demanda?" (clasificador, AUC 0,951) de "¿cuánto se venderá?" (regresor sobre las filas con v</w:t>
      </w:r>
      <w:r>
        <w:rPr>
          <w:rFonts w:ascii="Calibri" w:hAnsi="Calibri"/>
          <w:sz w:val="22"/>
        </w:rPr>
        <w:t xml:space="preserve">enta, usando la probabilidad de la etapa 1 como variable). Para productos sin historial se usa una fusión multimodal con los embeddings de FashionCLIP. Después se reconcilian los pronósticos entre niveles jerárquicos y se calcula el inventario recomendado.</w:t>
      </w:r>
      <w:r/>
    </w:p>
    <w:p>
      <w:pPr>
        <w:pStyle w:val="723"/>
        <w:pBdr/>
        <w:spacing w:after="60"/>
        <w:ind/>
        <w:rPr/>
      </w:pPr>
      <w:r>
        <w:rPr>
          <w:rFonts w:ascii="Calibri" w:hAnsi="Calibri"/>
          <w:sz w:val="22"/>
        </w:rPr>
        <w:t xml:space="preserve">Componente IA: XGBoost, scikit-learn, SHAP para explicabilidad y auditoría de variables.</w:t>
      </w:r>
      <w:r/>
    </w:p>
    <w:p>
      <w:pPr>
        <w:pBdr/>
        <w:spacing w:after="40"/>
        <w:ind/>
        <w:rPr/>
      </w:pPr>
      <w:r>
        <w:rPr>
          <w:b/>
          <w:color w:val="5c3f45"/>
          <w:sz w:val="21"/>
        </w:rPr>
        <w:t xml:space="preserve">Endpoints: </w:t>
      </w:r>
      <w:r>
        <w:rPr>
          <w:color w:val="1c1b1d"/>
          <w:sz w:val="21"/>
        </w:rPr>
        <w:t xml:space="preserve">/api/demand/summary, /series, /inventory, /drift, /futuro, /proveedores</w:t>
      </w:r>
      <w:r/>
      <w:r>
        <w:rPr>
          <w:highlight w:val="none"/>
        </w:rPr>
      </w:r>
      <w:r>
        <w:rPr>
          <w:highlight w:val="none"/>
        </w:rPr>
      </w:r>
      <w:r>
        <w:rPr>
          <w:highlight w:val="none"/>
        </w:rPr>
      </w:r>
      <w:r/>
    </w:p>
    <w:p>
      <w:pPr>
        <w:pStyle w:val="693"/>
        <w:pBdr/>
        <w:spacing/>
        <w:ind/>
        <w:rPr>
          <w:highlight w:val="none"/>
        </w:rPr>
      </w:pPr>
      <w:r>
        <w:t xml:space="preserve">4. Diagrama de Base de Datos Relacional (PostgreSQL)</w:t>
      </w:r>
      <w:r/>
    </w:p>
    <w:p>
      <w:pPr>
        <w:pBdr/>
        <w:spacing w:after="120" w:before="0"/>
        <w:ind/>
        <w:rPr/>
      </w:pPr>
      <w:r>
        <w:rPr>
          <w:b w:val="0"/>
          <w:i w:val="0"/>
          <w:color w:val="1c1b1d"/>
          <w:sz w:val="22"/>
        </w:rPr>
        <w:t xml:space="preserve">El esquema soporta la operación comercial, el almacenamiento vectorial y las trazas de la IA. Se listan las tablas principales agrupadas por dominio:</w:t>
      </w:r>
      <w:r/>
    </w:p>
    <w:tbl>
      <w:tblPr>
        <w:tblStyle w:val="753"/>
        <w:jc w:val="center"/>
        <w:tblW w:w="0" w:type="auto"/>
        <w:tblBorders/>
        <w:tblLook w:val="04A0" w:firstRow="1" w:lastRow="0" w:firstColumn="1" w:lastColumn="0" w:noHBand="0" w:noVBand="1"/>
      </w:tblPr>
      <w:tblGrid>
        <w:gridCol w:w="3216"/>
        <w:gridCol w:w="3216"/>
        <w:gridCol w:w="3216"/>
      </w:tblGrid>
      <w:tr>
        <w:trPr/>
        <w:tc>
          <w:tcPr>
            <w:shd w:val="clear" w:color="auto" w:fill="b60055"/>
            <w:tcBorders/>
            <w:tcW w:w="1728" w:type="dxa"/>
          </w:tcPr>
          <w:p>
            <w:pPr>
              <w:pBdr/>
              <w:spacing/>
              <w:ind/>
              <w:rPr/>
            </w:pPr>
            <w:r>
              <w:rPr>
                <w:b/>
                <w:color w:val="ffffff"/>
                <w:sz w:val="20"/>
              </w:rPr>
              <w:t xml:space="preserve">Dominio</w:t>
            </w:r>
            <w:r/>
          </w:p>
        </w:tc>
        <w:tc>
          <w:tcPr>
            <w:shd w:val="clear" w:color="auto" w:fill="b60055"/>
            <w:tcBorders/>
            <w:tcW w:w="3744" w:type="dxa"/>
          </w:tcPr>
          <w:p>
            <w:pPr>
              <w:pBdr/>
              <w:spacing/>
              <w:ind/>
              <w:rPr/>
            </w:pPr>
            <w:r>
              <w:rPr>
                <w:b/>
                <w:color w:val="ffffff"/>
                <w:sz w:val="20"/>
              </w:rPr>
              <w:t xml:space="preserve">Tablas</w:t>
            </w:r>
            <w:r/>
          </w:p>
        </w:tc>
        <w:tc>
          <w:tcPr>
            <w:shd w:val="clear" w:color="auto" w:fill="b60055"/>
            <w:tcBorders/>
            <w:tcW w:w="4176" w:type="dxa"/>
          </w:tcPr>
          <w:p>
            <w:pPr>
              <w:pBdr/>
              <w:spacing/>
              <w:ind/>
              <w:rPr/>
            </w:pPr>
            <w:r>
              <w:rPr>
                <w:b/>
                <w:color w:val="ffffff"/>
                <w:sz w:val="20"/>
              </w:rPr>
              <w:t xml:space="preserve">Descripción</w:t>
            </w:r>
            <w:r/>
          </w:p>
        </w:tc>
      </w:tr>
      <w:tr>
        <w:trPr/>
        <w:tc>
          <w:tcPr>
            <w:tcBorders/>
            <w:tcW w:w="1728" w:type="dxa"/>
          </w:tcPr>
          <w:p>
            <w:pPr>
              <w:pBdr/>
              <w:spacing/>
              <w:ind/>
              <w:rPr/>
            </w:pPr>
            <w:r>
              <w:rPr>
                <w:rFonts w:ascii="Calibri" w:hAnsi="Calibri"/>
                <w:sz w:val="19"/>
              </w:rPr>
              <w:t xml:space="preserve">Comercial</w:t>
            </w:r>
            <w:r/>
          </w:p>
        </w:tc>
        <w:tc>
          <w:tcPr>
            <w:tcBorders/>
            <w:tcW w:w="3744" w:type="dxa"/>
          </w:tcPr>
          <w:p>
            <w:pPr>
              <w:pBdr/>
              <w:spacing/>
              <w:ind/>
              <w:rPr/>
            </w:pPr>
            <w:r>
              <w:rPr>
                <w:rFonts w:ascii="Calibri" w:hAnsi="Calibri"/>
                <w:sz w:val="19"/>
              </w:rPr>
              <w:t xml:space="preserve">users, products, product_images, product_variants, inventory, stores</w:t>
            </w:r>
            <w:r/>
          </w:p>
        </w:tc>
        <w:tc>
          <w:tcPr>
            <w:tcBorders/>
            <w:tcW w:w="4176" w:type="dxa"/>
          </w:tcPr>
          <w:p>
            <w:pPr>
              <w:pBdr/>
              <w:spacing/>
              <w:ind/>
              <w:rPr/>
            </w:pPr>
            <w:r>
              <w:rPr>
                <w:rFonts w:ascii="Calibri" w:hAnsi="Calibri"/>
                <w:sz w:val="19"/>
              </w:rPr>
              <w:t xml:space="preserve">Catálogo, variantes, existencias por tienda y usuarios con roles cliente/staff/admin.</w:t>
            </w:r>
            <w:r/>
          </w:p>
        </w:tc>
      </w:tr>
      <w:tr>
        <w:trPr/>
        <w:tc>
          <w:tcPr>
            <w:shd w:val="clear" w:color="auto" w:fill="f6f2f5"/>
            <w:tcBorders/>
            <w:tcW w:w="1728" w:type="dxa"/>
          </w:tcPr>
          <w:p>
            <w:pPr>
              <w:pBdr/>
              <w:spacing/>
              <w:ind/>
              <w:rPr/>
            </w:pPr>
            <w:r>
              <w:rPr>
                <w:rFonts w:ascii="Calibri" w:hAnsi="Calibri"/>
                <w:sz w:val="19"/>
              </w:rPr>
              <w:t xml:space="preserve">Transaccional</w:t>
            </w:r>
            <w:r/>
          </w:p>
        </w:tc>
        <w:tc>
          <w:tcPr>
            <w:shd w:val="clear" w:color="auto" w:fill="f6f2f5"/>
            <w:tcBorders/>
            <w:tcW w:w="3744" w:type="dxa"/>
          </w:tcPr>
          <w:p>
            <w:pPr>
              <w:pBdr/>
              <w:spacing/>
              <w:ind/>
              <w:rPr/>
            </w:pPr>
            <w:r>
              <w:rPr>
                <w:rFonts w:ascii="Calibri" w:hAnsi="Calibri"/>
                <w:sz w:val="19"/>
              </w:rPr>
              <w:t xml:space="preserve">orders, order_items, carts, cart_items, wishlists</w:t>
            </w:r>
            <w:r/>
          </w:p>
        </w:tc>
        <w:tc>
          <w:tcPr>
            <w:shd w:val="clear" w:color="auto" w:fill="f6f2f5"/>
            <w:tcBorders/>
            <w:tcW w:w="4176" w:type="dxa"/>
          </w:tcPr>
          <w:p>
            <w:pPr>
              <w:pBdr/>
              <w:spacing/>
              <w:ind/>
              <w:rPr/>
            </w:pPr>
            <w:r>
              <w:rPr>
                <w:rFonts w:ascii="Calibri" w:hAnsi="Calibri"/>
                <w:sz w:val="19"/>
              </w:rPr>
              <w:t xml:space="preserve">Pedidos, líneas de pedido y carrito. Base del análisis de compra de los cuatro módulos.</w:t>
            </w:r>
            <w:r/>
          </w:p>
        </w:tc>
      </w:tr>
      <w:tr>
        <w:trPr/>
        <w:tc>
          <w:tcPr>
            <w:tcBorders/>
            <w:tcW w:w="1728" w:type="dxa"/>
          </w:tcPr>
          <w:p>
            <w:pPr>
              <w:pBdr/>
              <w:spacing/>
              <w:ind/>
              <w:rPr/>
            </w:pPr>
            <w:r>
              <w:rPr>
                <w:rFonts w:ascii="Calibri" w:hAnsi="Calibri"/>
                <w:sz w:val="19"/>
              </w:rPr>
              <w:t xml:space="preserve">Visión artificial</w:t>
            </w:r>
            <w:r/>
          </w:p>
        </w:tc>
        <w:tc>
          <w:tcPr>
            <w:tcBorders/>
            <w:tcW w:w="3744" w:type="dxa"/>
          </w:tcPr>
          <w:p>
            <w:pPr>
              <w:pBdr/>
              <w:spacing/>
              <w:ind/>
              <w:rPr/>
            </w:pPr>
            <w:r>
              <w:rPr>
                <w:rFonts w:ascii="Calibri" w:hAnsi="Calibri"/>
                <w:sz w:val="19"/>
              </w:rPr>
              <w:t xml:space="preserve">product_ai_attrs, product_embeddings</w:t>
            </w:r>
            <w:r/>
          </w:p>
        </w:tc>
        <w:tc>
          <w:tcPr>
            <w:tcBorders/>
            <w:tcW w:w="4176" w:type="dxa"/>
          </w:tcPr>
          <w:p>
            <w:pPr>
              <w:pBdr/>
              <w:spacing/>
              <w:ind/>
              <w:rPr/>
            </w:pPr>
            <w:r>
              <w:rPr>
                <w:rFonts w:ascii="Calibri" w:hAnsi="Calibri"/>
                <w:sz w:val="19"/>
              </w:rPr>
              <w:t xml:space="preserve">Atributos extraídos por visión (material, largo, cuello, manga, ocasión, temporada) y tres vectores por producto: imagen, texto y fusión, de 512 dimensiones.</w:t>
            </w:r>
            <w:r/>
          </w:p>
        </w:tc>
      </w:tr>
      <w:tr>
        <w:trPr/>
        <w:tc>
          <w:tcPr>
            <w:shd w:val="clear" w:color="auto" w:fill="f6f2f5"/>
            <w:tcBorders/>
            <w:tcW w:w="1728" w:type="dxa"/>
          </w:tcPr>
          <w:p>
            <w:pPr>
              <w:pBdr/>
              <w:spacing/>
              <w:ind/>
              <w:rPr/>
            </w:pPr>
            <w:r>
              <w:rPr>
                <w:rFonts w:ascii="Calibri" w:hAnsi="Calibri"/>
                <w:sz w:val="19"/>
              </w:rPr>
              <w:t xml:space="preserve">Asistente</w:t>
            </w:r>
            <w:r/>
          </w:p>
        </w:tc>
        <w:tc>
          <w:tcPr>
            <w:shd w:val="clear" w:color="auto" w:fill="f6f2f5"/>
            <w:tcBorders/>
            <w:tcW w:w="3744" w:type="dxa"/>
          </w:tcPr>
          <w:p>
            <w:pPr>
              <w:pBdr/>
              <w:spacing/>
              <w:ind/>
              <w:rPr/>
            </w:pPr>
            <w:r>
              <w:rPr>
                <w:rFonts w:ascii="Calibri" w:hAnsi="Calibri"/>
                <w:sz w:val="19"/>
              </w:rPr>
              <w:t xml:space="preserve">ai_sessions, ai_events, ai_memory, ai_web_cache</w:t>
            </w:r>
            <w:r/>
          </w:p>
        </w:tc>
        <w:tc>
          <w:tcPr>
            <w:shd w:val="clear" w:color="auto" w:fill="f6f2f5"/>
            <w:tcBorders/>
            <w:tcW w:w="4176" w:type="dxa"/>
          </w:tcPr>
          <w:p>
            <w:pPr>
              <w:pBdr/>
              <w:spacing/>
              <w:ind/>
              <w:rPr/>
            </w:pPr>
            <w:r>
              <w:rPr>
                <w:rFonts w:ascii="Calibri" w:hAnsi="Calibri"/>
                <w:sz w:val="19"/>
              </w:rPr>
              <w:t xml:space="preserve">Trazas de conversación, memoria persistente del cliente y caché de búsqueda web.</w:t>
            </w:r>
            <w:r/>
          </w:p>
        </w:tc>
      </w:tr>
      <w:tr>
        <w:trPr/>
        <w:tc>
          <w:tcPr>
            <w:tcBorders/>
            <w:tcW w:w="1728" w:type="dxa"/>
          </w:tcPr>
          <w:p>
            <w:pPr>
              <w:pBdr/>
              <w:spacing/>
              <w:ind/>
              <w:rPr/>
            </w:pPr>
            <w:r>
              <w:rPr>
                <w:rFonts w:ascii="Calibri" w:hAnsi="Calibri"/>
                <w:sz w:val="19"/>
              </w:rPr>
              <w:t xml:space="preserve">Gobierno de IA</w:t>
            </w:r>
            <w:r/>
          </w:p>
        </w:tc>
        <w:tc>
          <w:tcPr>
            <w:tcBorders/>
            <w:tcW w:w="3744" w:type="dxa"/>
          </w:tcPr>
          <w:p>
            <w:pPr>
              <w:pBdr/>
              <w:spacing/>
              <w:ind/>
              <w:rPr/>
            </w:pPr>
            <w:r>
              <w:rPr>
                <w:rFonts w:ascii="Calibri" w:hAnsi="Calibri"/>
                <w:sz w:val="19"/>
              </w:rPr>
              <w:t xml:space="preserve">ai_usage, ai_settings, ai_knowledge</w:t>
            </w:r>
            <w:r/>
          </w:p>
        </w:tc>
        <w:tc>
          <w:tcPr>
            <w:tcBorders/>
            <w:tcW w:w="4176" w:type="dxa"/>
          </w:tcPr>
          <w:p>
            <w:pPr>
              <w:pBdr/>
              <w:spacing/>
              <w:ind/>
              <w:rPr/>
            </w:pPr>
            <w:r>
              <w:rPr>
                <w:rFonts w:ascii="Calibri" w:hAnsi="Calibri"/>
                <w:sz w:val="19"/>
              </w:rPr>
              <w:t xml:space="preserve">Telemetría por llamada (tokens, caché, coste, latencia, error), configuración editable desde el panel y reglas de negocio inyectadas en el prompt.</w:t>
            </w:r>
            <w:r/>
          </w:p>
        </w:tc>
      </w:tr>
      <w:tr>
        <w:trPr/>
        <w:tc>
          <w:tcPr>
            <w:shd w:val="clear" w:color="auto" w:fill="f6f2f5"/>
            <w:tcBorders/>
            <w:tcW w:w="1728" w:type="dxa"/>
          </w:tcPr>
          <w:p>
            <w:pPr>
              <w:pBdr/>
              <w:spacing/>
              <w:ind/>
              <w:rPr/>
            </w:pPr>
            <w:r>
              <w:rPr>
                <w:rFonts w:ascii="Calibri" w:hAnsi="Calibri"/>
                <w:sz w:val="19"/>
              </w:rPr>
              <w:t xml:space="preserve">Previsión</w:t>
            </w:r>
            <w:r/>
          </w:p>
        </w:tc>
        <w:tc>
          <w:tcPr>
            <w:shd w:val="clear" w:color="auto" w:fill="f6f2f5"/>
            <w:tcBorders/>
            <w:tcW w:w="3744" w:type="dxa"/>
          </w:tcPr>
          <w:p>
            <w:pPr>
              <w:pBdr/>
              <w:spacing/>
              <w:ind/>
              <w:rPr/>
            </w:pPr>
            <w:r>
              <w:rPr>
                <w:rFonts w:ascii="Calibri" w:hAnsi="Calibri"/>
                <w:sz w:val="19"/>
              </w:rPr>
              <w:t xml:space="preserve">sales_history, promo_calendar, demand_features, demand_forecasts, inventory_recommendations, feature_registry, model_runs, drift_metrics</w:t>
            </w:r>
            <w:r/>
          </w:p>
        </w:tc>
        <w:tc>
          <w:tcPr>
            <w:shd w:val="clear" w:color="auto" w:fill="f6f2f5"/>
            <w:tcBorders/>
            <w:tcW w:w="4176" w:type="dxa"/>
          </w:tcPr>
          <w:p>
            <w:pPr>
              <w:pBdr/>
              <w:spacing/>
              <w:ind/>
              <w:rPr/>
            </w:pPr>
            <w:r>
              <w:rPr>
                <w:rFonts w:ascii="Calibri" w:hAnsi="Calibri"/>
                <w:sz w:val="19"/>
              </w:rPr>
              <w:t xml:space="preserve">Historial SKU/tienda/semana, features con registro anti-leakage, pronósticos, recomendaciones, tracking de experimentos y PSI de drift.</w:t>
            </w:r>
            <w:r/>
          </w:p>
        </w:tc>
      </w:tr>
      <w:tr>
        <w:trPr/>
        <w:tc>
          <w:tcPr>
            <w:tcBorders/>
            <w:tcW w:w="1728" w:type="dxa"/>
          </w:tcPr>
          <w:p>
            <w:pPr>
              <w:pBdr/>
              <w:spacing/>
              <w:ind/>
              <w:rPr/>
            </w:pPr>
            <w:r>
              <w:rPr>
                <w:rFonts w:ascii="Calibri" w:hAnsi="Calibri"/>
                <w:sz w:val="19"/>
              </w:rPr>
              <w:t xml:space="preserve">Abastecimiento</w:t>
            </w:r>
            <w:r/>
          </w:p>
        </w:tc>
        <w:tc>
          <w:tcPr>
            <w:tcBorders/>
            <w:tcW w:w="3744" w:type="dxa"/>
          </w:tcPr>
          <w:p>
            <w:pPr>
              <w:pBdr/>
              <w:spacing/>
              <w:ind/>
              <w:rPr/>
            </w:pPr>
            <w:r>
              <w:rPr>
                <w:rFonts w:ascii="Calibri" w:hAnsi="Calibri"/>
                <w:sz w:val="19"/>
              </w:rPr>
              <w:t xml:space="preserve">suppliers, purchase_orders</w:t>
            </w:r>
            <w:r/>
          </w:p>
        </w:tc>
        <w:tc>
          <w:tcPr>
            <w:tcBorders/>
            <w:tcW w:w="4176" w:type="dxa"/>
          </w:tcPr>
          <w:p>
            <w:pPr>
              <w:pBdr/>
              <w:spacing/>
              <w:ind/>
              <w:rPr/>
            </w:pPr>
            <w:r>
              <w:rPr>
                <w:rFonts w:ascii="Calibri" w:hAnsi="Calibri"/>
                <w:sz w:val="19"/>
              </w:rPr>
              <w:t xml:space="preserve">Proveedores con lead time, mínimo de pedido y fiabilidad, e historial de compras con su ciclo confirmado → en tránsito → recibido.</w:t>
            </w:r>
            <w:r/>
          </w:p>
        </w:tc>
      </w:tr>
    </w:tbl>
    <w:p>
      <w:pPr>
        <w:pStyle w:val="693"/>
        <w:pBdr/>
        <w:spacing/>
        <w:ind/>
        <w:rPr/>
      </w:pPr>
      <w:r>
        <w:t xml:space="preserve">5. Procedimiento Detallado de Integración (API Externa)</w:t>
      </w:r>
      <w:r/>
    </w:p>
    <w:p>
      <w:pPr>
        <w:pBdr/>
        <w:spacing w:after="120" w:before="0"/>
        <w:ind/>
        <w:rPr/>
      </w:pPr>
      <w:r>
        <w:rPr>
          <w:b w:val="0"/>
          <w:i w:val="0"/>
          <w:color w:val="1c1b1d"/>
          <w:sz w:val="22"/>
        </w:rPr>
        <w:t xml:space="preserve">El flujo de integración bajo el Enfoque Ligero de la Opción 1 se divide en cinco etapas secuenciales. Se detalla el comportamiento real implementado:</w:t>
      </w:r>
      <w:r/>
    </w:p>
    <w:p>
      <w:pPr>
        <w:pStyle w:val="723"/>
        <w:pBdr/>
        <w:spacing w:after="60"/>
        <w:ind/>
        <w:rPr/>
      </w:pPr>
      <w:r>
        <w:rPr>
          <w:rFonts w:ascii="Calibri" w:hAnsi="Calibri"/>
          <w:sz w:val="22"/>
        </w:rPr>
        <w:t xml:space="preserve">Paso 1 — Credenciales y entorno: la API Key se genera en el proveedor y se almacena en el archivo .env del backend, que está excluido del control de versiones. Nunca se expone en el JavaScript del cliente.</w:t>
      </w:r>
      <w:r/>
    </w:p>
    <w:p>
      <w:pPr>
        <w:pStyle w:val="723"/>
        <w:pBdr/>
        <w:spacing w:after="60"/>
        <w:ind/>
        <w:rPr/>
      </w:pPr>
      <w:r>
        <w:rPr>
          <w:rFonts w:ascii="Calibri" w:hAnsi="Calibri"/>
          <w:sz w:val="22"/>
        </w:rPr>
        <w:t xml:space="preserve">Paso 2 — Extracción de contexto (SQL): al activarse un evento, el backend consulta PostgreSQL para obtener perfil del cliente, historial de pedidos, carrito, inventario, memoria aprendida y las reglas de negocio vigentes.</w:t>
      </w:r>
      <w:r/>
    </w:p>
    <w:p>
      <w:pPr>
        <w:pStyle w:val="723"/>
        <w:pBdr/>
        <w:spacing w:after="60"/>
        <w:ind/>
        <w:rPr/>
      </w:pPr>
      <w:r>
        <w:rPr>
          <w:rFonts w:ascii="Calibri" w:hAnsi="Calibri"/>
          <w:sz w:val="22"/>
        </w:rPr>
        <w:t xml:space="preserve">Paso 3 — Construcción del prompt: el backend compone (a) rol de la IA, (b) reglas operativas y delimitadores, (c) conocimiento y reglas de negocio editables desde el panel, (d) datos extraídos de PostgreSQL y (e) formato de salida esperado.</w:t>
      </w:r>
      <w:r/>
    </w:p>
    <w:p>
      <w:pPr>
        <w:pStyle w:val="723"/>
        <w:pBdr/>
        <w:spacing w:after="60"/>
        <w:ind/>
        <w:rPr/>
      </w:pPr>
      <w:r>
        <w:rPr>
          <w:rFonts w:ascii="Calibri" w:hAnsi="Calibri"/>
          <w:sz w:val="22"/>
        </w:rPr>
        <w:t xml:space="preserve">Paso 4 — Consumo REST/HTTPS: el serv</w:t>
      </w:r>
      <w:r>
        <w:rPr>
          <w:rFonts w:ascii="Calibri" w:hAnsi="Calibri"/>
          <w:sz w:val="22"/>
        </w:rPr>
        <w:t xml:space="preserve">idor realiza una petición POST asíncrona con autenticación Bearer y control de timeout por AbortController. La escritura del payload desactiva el modo de razonamiento extendido del modelo, que consumía el presupuesto de tokens y devolvía respuestas vacías.</w:t>
      </w:r>
      <w:r/>
    </w:p>
    <w:p>
      <w:pPr>
        <w:pStyle w:val="723"/>
        <w:pBdr/>
        <w:spacing w:after="60"/>
        <w:ind/>
        <w:rPr/>
      </w:pPr>
      <w:r>
        <w:rPr>
          <w:rFonts w:ascii="Calibri" w:hAnsi="Calibri"/>
          <w:sz w:val="22"/>
        </w:rPr>
        <w:t xml:space="preserve">Paso 5 — Validación, almacenamiento y renderizado: el backend valida la estructura, guarda la traza y la telemetría de consumo en PostgreSQL, y transmite la respuesta al frontend.</w:t>
      </w:r>
      <w:r/>
    </w:p>
    <w:p>
      <w:pPr>
        <w:pBdr/>
        <w:spacing w:after="80"/>
        <w:ind/>
        <w:rPr/>
      </w:pPr>
      <w:r/>
      <w:r/>
    </w:p>
    <w:p>
      <w:pPr>
        <w:pStyle w:val="693"/>
        <w:pBdr/>
        <w:spacing/>
        <w:ind/>
        <w:rPr/>
      </w:pPr>
      <w:r>
        <w:t xml:space="preserve">6. Explicación del Funcionamiento Arquitectónico</w:t>
      </w:r>
      <w:r/>
    </w:p>
    <w:p>
      <w:pPr>
        <w:pStyle w:val="694"/>
        <w:pBdr/>
        <w:spacing/>
        <w:ind/>
        <w:rPr/>
      </w:pPr>
      <w:r>
        <w:t xml:space="preserve">Flujo Operativo en el Backend (Node + Express)</w:t>
      </w:r>
      <w:r/>
    </w:p>
    <w:p>
      <w:pPr>
        <w:pStyle w:val="723"/>
        <w:pBdr/>
        <w:spacing w:after="60"/>
        <w:ind/>
        <w:rPr/>
      </w:pPr>
      <w:r>
        <w:rPr>
          <w:rFonts w:ascii="Calibri" w:hAnsi="Calibri"/>
          <w:sz w:val="22"/>
        </w:rPr>
        <w:t xml:space="preserve">Custodia de seguridad: el backend actúa como intermediario (proxy), evitando que las API Keys se expongan en el navegador.</w:t>
      </w:r>
      <w:r/>
    </w:p>
    <w:p>
      <w:pPr>
        <w:pStyle w:val="723"/>
        <w:pBdr/>
        <w:spacing w:after="60"/>
        <w:ind/>
        <w:rPr/>
      </w:pPr>
      <w:r>
        <w:rPr>
          <w:rFonts w:ascii="Calibri" w:hAnsi="Calibri"/>
          <w:sz w:val="22"/>
        </w:rPr>
        <w:t xml:space="preserve">Consolidación de contexto: transforma los datos relacionales en objetos estructurados aptos para el consumo de LLMs, con un presupuesto de tokens acotado.</w:t>
      </w:r>
      <w:r/>
    </w:p>
    <w:p>
      <w:pPr>
        <w:pStyle w:val="723"/>
        <w:pBdr/>
        <w:spacing w:after="60"/>
        <w:ind/>
        <w:rPr/>
      </w:pPr>
      <w:r>
        <w:rPr>
          <w:rFonts w:ascii="Calibri" w:hAnsi="Calibri"/>
          <w:sz w:val="22"/>
        </w:rPr>
        <w:t xml:space="preserve">Planificación híbrida: los filtros habituales se resuelven con heurística local (4 ms) y solo se consulta al LLM cuando la petición no aporta señales estructuradas. Esto redujo la latencia del asesor de 3,5 s a 1,9 s de mediana.</w:t>
      </w:r>
      <w:r/>
    </w:p>
    <w:p>
      <w:pPr>
        <w:pStyle w:val="723"/>
        <w:pBdr/>
        <w:spacing w:after="60"/>
        <w:ind/>
        <w:rPr/>
      </w:pPr>
      <w:r>
        <w:rPr>
          <w:rFonts w:ascii="Calibri" w:hAnsi="Calibri"/>
          <w:sz w:val="22"/>
        </w:rPr>
        <w:t xml:space="preserve">Control de excepciones: ante latencia, caída o error del proveedor, se captura la excepción y se responde con el motor local, garantizando continuidad del servicio.</w:t>
      </w:r>
      <w:r/>
    </w:p>
    <w:p>
      <w:pPr>
        <w:pStyle w:val="723"/>
        <w:pBdr/>
        <w:spacing w:after="60"/>
        <w:ind/>
        <w:rPr/>
      </w:pPr>
      <w:r>
        <w:rPr>
          <w:rFonts w:ascii="Calibri" w:hAnsi="Calibri"/>
          <w:sz w:val="22"/>
        </w:rPr>
        <w:t xml:space="preserve">Protección de datos personales: las rutas que exponen memoria de clientes y métricas internas exigen rol de administrador.</w:t>
      </w:r>
      <w:r/>
    </w:p>
    <w:p>
      <w:pPr>
        <w:pStyle w:val="694"/>
        <w:pBdr/>
        <w:spacing/>
        <w:ind/>
        <w:rPr/>
      </w:pPr>
      <w:r>
        <w:t xml:space="preserve">Flujo Operativo en el Frontend (HTML / JS / CSS)</w:t>
      </w:r>
      <w:r/>
    </w:p>
    <w:p>
      <w:pPr>
        <w:pStyle w:val="723"/>
        <w:pBdr/>
        <w:spacing w:after="60"/>
        <w:ind/>
        <w:rPr/>
      </w:pPr>
      <w:r>
        <w:rPr>
          <w:rFonts w:ascii="Calibri" w:hAnsi="Calibri"/>
          <w:sz w:val="22"/>
        </w:rPr>
        <w:t xml:space="preserve">Eventos de usuario: captura acciones mediante JavaScript (enviar mensaje, subir fotografía, cambiar de tienda, añadir al carrito).</w:t>
      </w:r>
      <w:r/>
    </w:p>
    <w:p>
      <w:pPr>
        <w:pStyle w:val="723"/>
        <w:pBdr/>
        <w:spacing w:after="60"/>
        <w:ind/>
        <w:rPr/>
      </w:pPr>
      <w:r>
        <w:rPr>
          <w:rFonts w:ascii="Calibri" w:hAnsi="Calibri"/>
          <w:sz w:val="22"/>
        </w:rPr>
        <w:t xml:space="preserve">Consultas asíncronas: peticiones no bloqueantes hacia las rutas del backend, con el token de sesión adjunto.</w:t>
      </w:r>
      <w:r/>
    </w:p>
    <w:p>
      <w:pPr>
        <w:pStyle w:val="723"/>
        <w:pBdr/>
        <w:spacing w:after="60"/>
        <w:ind/>
        <w:rPr/>
      </w:pPr>
      <w:r>
        <w:rPr>
          <w:rFonts w:ascii="Calibri" w:hAnsi="Calibri"/>
          <w:sz w:val="22"/>
        </w:rPr>
        <w:t xml:space="preserve">Renderizado dinámico: manipula el DOM para mostrar tarjetas de producto, gráficas de pronóstico, indicadores de existencias y modales de confirmación.</w:t>
      </w:r>
      <w:r/>
      <w:r/>
      <w:r/>
      <w:r/>
    </w:p>
    <w:p>
      <w:pPr>
        <w:pStyle w:val="693"/>
        <w:pBdr/>
        <w:spacing/>
        <w:ind/>
        <w:rPr/>
      </w:pPr>
      <w:r>
        <w:t xml:space="preserve">7. Persistencia de las Interacciones con la IA</w:t>
      </w:r>
      <w:r/>
    </w:p>
    <w:p>
      <w:pPr>
        <w:pBdr/>
        <w:spacing w:after="120" w:before="0"/>
        <w:ind/>
        <w:rPr/>
      </w:pPr>
      <w:r>
        <w:rPr>
          <w:b w:val="0"/>
          <w:i w:val="0"/>
          <w:color w:val="1c1b1d"/>
          <w:sz w:val="22"/>
        </w:rPr>
        <w:t xml:space="preserve">Cada interacción queda registrada para alimentar la memoria del sistema, gobernar el coste y garantizar la trazabilidad de las recomendaciones:</w:t>
      </w:r>
      <w:r/>
    </w:p>
    <w:p>
      <w:pPr>
        <w:pStyle w:val="723"/>
        <w:pBdr/>
        <w:spacing w:after="60"/>
        <w:ind/>
        <w:rPr/>
      </w:pPr>
      <w:r>
        <w:rPr>
          <w:rFonts w:ascii="Calibri" w:hAnsi="Calibri"/>
          <w:sz w:val="22"/>
        </w:rPr>
        <w:t xml:space="preserve">ai_sessions: agrupa los mensajes por cliente y sesión, permitiendo continuidad del contexto.</w:t>
      </w:r>
      <w:r/>
    </w:p>
    <w:p>
      <w:pPr>
        <w:pStyle w:val="723"/>
        <w:pBdr/>
        <w:spacing w:after="60"/>
        <w:ind/>
        <w:rPr/>
      </w:pPr>
      <w:r>
        <w:rPr>
          <w:rFonts w:ascii="Calibri" w:hAnsi="Calibri"/>
          <w:sz w:val="22"/>
        </w:rPr>
        <w:t xml:space="preserve">ai_events: registra eventos de interacción con su carga útil para análisis posterior.</w:t>
      </w:r>
      <w:r/>
    </w:p>
    <w:p>
      <w:pPr>
        <w:pStyle w:val="723"/>
        <w:pBdr/>
        <w:spacing w:after="60"/>
        <w:ind/>
        <w:rPr/>
      </w:pPr>
      <w:r>
        <w:rPr>
          <w:rFonts w:ascii="Calibri" w:hAnsi="Calibri"/>
          <w:sz w:val="22"/>
        </w:rPr>
        <w:t xml:space="preserve">ai_memory: almacena los hechos aprendidos (preferencias, tallas, categorías, colores) con su nivel de confianza y origen, y es editable por el administrador.</w:t>
      </w:r>
      <w:r/>
    </w:p>
    <w:p>
      <w:pPr>
        <w:pStyle w:val="723"/>
        <w:pBdr/>
        <w:spacing w:after="60"/>
        <w:ind/>
        <w:rPr/>
      </w:pPr>
      <w:r>
        <w:rPr>
          <w:rFonts w:ascii="Calibri" w:hAnsi="Calibri"/>
          <w:sz w:val="22"/>
        </w:rPr>
        <w:t xml:space="preserve">ai_usage: una fila por llamada al modelo con proveedor, modelo, tokens de entrada y salida, aciertos de caché, coste, latencia y error. Permite calcular p95 de latencia, gasto acumulado y tasa de error por tipo de operación.</w:t>
      </w:r>
      <w:r/>
    </w:p>
    <w:p>
      <w:pPr>
        <w:pStyle w:val="723"/>
        <w:pBdr/>
        <w:spacing w:after="60"/>
        <w:ind/>
        <w:rPr/>
      </w:pPr>
      <w:r>
        <w:rPr>
          <w:rFonts w:ascii="Calibri" w:hAnsi="Calibri"/>
          <w:sz w:val="22"/>
        </w:rPr>
        <w:t xml:space="preserve">ai_knowledge: reglas de negocio y conocimiento editable desde el panel, inyectado en el prompt con prioridad sobre el texto base del sistema.</w:t>
      </w:r>
      <w:r/>
    </w:p>
    <w:p>
      <w:pPr>
        <w:pStyle w:val="723"/>
        <w:pBdr/>
        <w:spacing w:after="60"/>
        <w:ind/>
        <w:rPr/>
      </w:pPr>
      <w:r>
        <w:rPr>
          <w:rFonts w:ascii="Calibri" w:hAnsi="Calibri"/>
          <w:sz w:val="22"/>
        </w:rPr>
        <w:t xml:space="preserve">model_runs: registro de experimentos con parámetros, métricas y artefactos de cada entrenamiento.</w:t>
      </w:r>
      <w:r/>
    </w:p>
    <w:p>
      <w:pPr>
        <w:pStyle w:val="723"/>
        <w:pBdr/>
        <w:spacing w:after="60"/>
        <w:ind/>
        <w:rPr/>
      </w:pPr>
      <w:r>
        <w:rPr>
          <w:rFonts w:ascii="Calibri" w:hAnsi="Calibri"/>
          <w:sz w:val="22"/>
        </w:rPr>
        <w:t xml:space="preserve">drift_metrics: índice de estabilidad de variables (PSI) que compara la distribución de las características entre el periodo de entrenamiento y el reciente, para decidir cuándo reentrenar.</w:t>
      </w:r>
      <w:r/>
    </w:p>
    <w:p>
      <w:pPr>
        <w:pStyle w:val="693"/>
        <w:pBdr/>
        <w:spacing/>
        <w:ind/>
        <w:rPr/>
      </w:pPr>
      <w:r>
        <w:t xml:space="preserve">8. Validación y Resultados Medidos</w:t>
      </w:r>
      <w:r/>
    </w:p>
    <w:p>
      <w:pPr>
        <w:pBdr/>
        <w:spacing w:after="120" w:before="0"/>
        <w:ind/>
        <w:rPr/>
      </w:pPr>
      <w:r>
        <w:rPr>
          <w:b w:val="0"/>
          <w:i w:val="0"/>
          <w:color w:val="1c1b1d"/>
          <w:sz w:val="22"/>
        </w:rPr>
        <w:t xml:space="preserve">Todas las cifras siguientes son reproducibles ejecutando los comandos de validación del proyecto. Los datos de historial son sintéticos y así están marcados en la base de datos.</w:t>
      </w:r>
      <w:r/>
    </w:p>
    <w:tbl>
      <w:tblPr>
        <w:tblStyle w:val="753"/>
        <w:jc w:val="center"/>
        <w:tblW w:w="0" w:type="auto"/>
        <w:tblBorders/>
        <w:tblLook w:val="04A0" w:firstRow="1" w:lastRow="0" w:firstColumn="1" w:lastColumn="0" w:noHBand="0" w:noVBand="1"/>
      </w:tblPr>
      <w:tblGrid>
        <w:gridCol w:w="1930"/>
        <w:gridCol w:w="1930"/>
        <w:gridCol w:w="1930"/>
        <w:gridCol w:w="1930"/>
        <w:gridCol w:w="1930"/>
      </w:tblGrid>
      <w:tr>
        <w:trPr/>
        <w:tc>
          <w:tcPr>
            <w:shd w:val="clear" w:color="auto" w:fill="b60055"/>
            <w:tcBorders/>
            <w:tcW w:w="1008" w:type="dxa"/>
          </w:tcPr>
          <w:p>
            <w:pPr>
              <w:pBdr/>
              <w:spacing/>
              <w:ind/>
              <w:rPr/>
            </w:pPr>
            <w:r>
              <w:rPr>
                <w:b/>
                <w:color w:val="ffffff"/>
                <w:sz w:val="20"/>
              </w:rPr>
              <w:t xml:space="preserve">Módulo</w:t>
            </w:r>
            <w:r/>
          </w:p>
        </w:tc>
        <w:tc>
          <w:tcPr>
            <w:shd w:val="clear" w:color="auto" w:fill="b60055"/>
            <w:tcBorders/>
            <w:tcW w:w="3168" w:type="dxa"/>
          </w:tcPr>
          <w:p>
            <w:pPr>
              <w:pBdr/>
              <w:spacing/>
              <w:ind/>
              <w:rPr/>
            </w:pPr>
            <w:r>
              <w:rPr>
                <w:b/>
                <w:color w:val="ffffff"/>
                <w:sz w:val="20"/>
              </w:rPr>
              <w:t xml:space="preserve">Criterio</w:t>
            </w:r>
            <w:r/>
          </w:p>
        </w:tc>
        <w:tc>
          <w:tcPr>
            <w:shd w:val="clear" w:color="auto" w:fill="b60055"/>
            <w:tcBorders/>
            <w:tcW w:w="1584" w:type="dxa"/>
          </w:tcPr>
          <w:p>
            <w:pPr>
              <w:pBdr/>
              <w:spacing/>
              <w:ind/>
              <w:rPr/>
            </w:pPr>
            <w:r>
              <w:rPr>
                <w:b/>
                <w:color w:val="ffffff"/>
                <w:sz w:val="20"/>
              </w:rPr>
              <w:t xml:space="preserve">Umbral</w:t>
            </w:r>
            <w:r/>
          </w:p>
        </w:tc>
        <w:tc>
          <w:tcPr>
            <w:shd w:val="clear" w:color="auto" w:fill="b60055"/>
            <w:tcBorders/>
            <w:tcW w:w="1872" w:type="dxa"/>
          </w:tcPr>
          <w:p>
            <w:pPr>
              <w:pBdr/>
              <w:spacing/>
              <w:ind/>
              <w:rPr/>
            </w:pPr>
            <w:r>
              <w:rPr>
                <w:b/>
                <w:color w:val="ffffff"/>
                <w:sz w:val="20"/>
              </w:rPr>
              <w:t xml:space="preserve">Resultado</w:t>
            </w:r>
            <w:r/>
          </w:p>
        </w:tc>
        <w:tc>
          <w:tcPr>
            <w:shd w:val="clear" w:color="auto" w:fill="b60055"/>
            <w:tcBorders/>
            <w:tcW w:w="1440" w:type="dxa"/>
          </w:tcPr>
          <w:p>
            <w:pPr>
              <w:pBdr/>
              <w:spacing/>
              <w:ind/>
              <w:rPr/>
            </w:pPr>
            <w:r>
              <w:rPr>
                <w:b/>
                <w:color w:val="ffffff"/>
                <w:sz w:val="20"/>
              </w:rPr>
              <w:t xml:space="preserve">Estado</w:t>
            </w:r>
            <w:r/>
          </w:p>
        </w:tc>
      </w:tr>
      <w:tr>
        <w:trPr/>
        <w:tc>
          <w:tcPr>
            <w:tcBorders/>
            <w:tcW w:w="1008" w:type="dxa"/>
          </w:tcPr>
          <w:p>
            <w:pPr>
              <w:pBdr/>
              <w:spacing/>
              <w:ind/>
              <w:rPr/>
            </w:pPr>
            <w:r>
              <w:rPr>
                <w:rFonts w:ascii="Calibri" w:hAnsi="Calibri"/>
                <w:sz w:val="19"/>
              </w:rPr>
              <w:t xml:space="preserve">RF-02</w:t>
            </w:r>
            <w:r/>
          </w:p>
        </w:tc>
        <w:tc>
          <w:tcPr>
            <w:tcBorders/>
            <w:tcW w:w="3168" w:type="dxa"/>
          </w:tcPr>
          <w:p>
            <w:pPr>
              <w:pBdr/>
              <w:spacing/>
              <w:ind/>
              <w:rPr/>
            </w:pPr>
            <w:r>
              <w:rPr>
                <w:rFonts w:ascii="Calibri" w:hAnsi="Calibri"/>
                <w:sz w:val="19"/>
              </w:rPr>
              <w:t xml:space="preserve">Precisión del asesor RAG</w:t>
            </w:r>
            <w:r/>
          </w:p>
        </w:tc>
        <w:tc>
          <w:tcPr>
            <w:tcBorders/>
            <w:tcW w:w="1584" w:type="dxa"/>
          </w:tcPr>
          <w:p>
            <w:pPr>
              <w:pBdr/>
              <w:spacing/>
              <w:ind/>
              <w:rPr/>
            </w:pPr>
            <w:r>
              <w:rPr>
                <w:rFonts w:ascii="Calibri" w:hAnsi="Calibri"/>
                <w:sz w:val="19"/>
              </w:rPr>
              <w:t xml:space="preserve">100 %</w:t>
            </w:r>
            <w:r/>
          </w:p>
        </w:tc>
        <w:tc>
          <w:tcPr>
            <w:tcBorders/>
            <w:tcW w:w="1872" w:type="dxa"/>
          </w:tcPr>
          <w:p>
            <w:pPr>
              <w:pBdr/>
              <w:spacing/>
              <w:ind/>
              <w:rPr/>
            </w:pPr>
            <w:r>
              <w:rPr>
                <w:rFonts w:ascii="Calibri" w:hAnsi="Calibri"/>
                <w:sz w:val="19"/>
              </w:rPr>
              <w:t xml:space="preserve">100,0 %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1008" w:type="dxa"/>
          </w:tcPr>
          <w:p>
            <w:pPr>
              <w:pBdr/>
              <w:spacing/>
              <w:ind/>
              <w:rPr/>
            </w:pPr>
            <w:r>
              <w:rPr>
                <w:rFonts w:ascii="Calibri" w:hAnsi="Calibri"/>
                <w:sz w:val="19"/>
              </w:rPr>
              <w:t xml:space="preserve">RF-02</w:t>
            </w:r>
            <w:r/>
          </w:p>
        </w:tc>
        <w:tc>
          <w:tcPr>
            <w:shd w:val="clear" w:color="auto" w:fill="f6f2f5"/>
            <w:tcBorders/>
            <w:tcW w:w="3168" w:type="dxa"/>
          </w:tcPr>
          <w:p>
            <w:pPr>
              <w:pBdr/>
              <w:spacing/>
              <w:ind/>
              <w:rPr/>
            </w:pPr>
            <w:r>
              <w:rPr>
                <w:rFonts w:ascii="Calibri" w:hAnsi="Calibri"/>
                <w:sz w:val="19"/>
              </w:rPr>
              <w:t xml:space="preserve">Latencia chat p95</w:t>
            </w:r>
            <w:r/>
          </w:p>
        </w:tc>
        <w:tc>
          <w:tcPr>
            <w:shd w:val="clear" w:color="auto" w:fill="f6f2f5"/>
            <w:tcBorders/>
            <w:tcW w:w="1584" w:type="dxa"/>
          </w:tcPr>
          <w:p>
            <w:pPr>
              <w:pBdr/>
              <w:spacing/>
              <w:ind/>
              <w:rPr/>
            </w:pPr>
            <w:r>
              <w:rPr>
                <w:rFonts w:ascii="Calibri" w:hAnsi="Calibri"/>
                <w:sz w:val="19"/>
              </w:rPr>
              <w:t xml:space="preserve">&lt; 3 s</w:t>
            </w:r>
            <w:r/>
          </w:p>
        </w:tc>
        <w:tc>
          <w:tcPr>
            <w:shd w:val="clear" w:color="auto" w:fill="f6f2f5"/>
            <w:tcBorders/>
            <w:tcW w:w="1872" w:type="dxa"/>
          </w:tcPr>
          <w:p>
            <w:pPr>
              <w:pBdr/>
              <w:spacing/>
              <w:ind/>
              <w:rPr/>
            </w:pPr>
            <w:r>
              <w:rPr>
                <w:rFonts w:ascii="Calibri" w:hAnsi="Calibri"/>
                <w:sz w:val="19"/>
              </w:rPr>
              <w:t xml:space="preserve">2.890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1008" w:type="dxa"/>
          </w:tcPr>
          <w:p>
            <w:pPr>
              <w:pBdr/>
              <w:spacing/>
              <w:ind/>
              <w:rPr/>
            </w:pPr>
            <w:r>
              <w:rPr>
                <w:rFonts w:ascii="Calibri" w:hAnsi="Calibri"/>
                <w:sz w:val="19"/>
              </w:rPr>
              <w:t xml:space="preserve">RF-02</w:t>
            </w:r>
            <w:r/>
          </w:p>
        </w:tc>
        <w:tc>
          <w:tcPr>
            <w:tcBorders/>
            <w:tcW w:w="3168" w:type="dxa"/>
          </w:tcPr>
          <w:p>
            <w:pPr>
              <w:pBdr/>
              <w:spacing/>
              <w:ind/>
              <w:rPr/>
            </w:pPr>
            <w:r>
              <w:rPr>
                <w:rFonts w:ascii="Calibri" w:hAnsi="Calibri"/>
                <w:sz w:val="19"/>
              </w:rPr>
              <w:t xml:space="preserve">Acierto visual top-3</w:t>
            </w:r>
            <w:r/>
          </w:p>
        </w:tc>
        <w:tc>
          <w:tcPr>
            <w:tcBorders/>
            <w:tcW w:w="1584" w:type="dxa"/>
          </w:tcPr>
          <w:p>
            <w:pPr>
              <w:pBdr/>
              <w:spacing/>
              <w:ind/>
              <w:rPr/>
            </w:pPr>
            <w:r>
              <w:rPr>
                <w:rFonts w:ascii="Calibri" w:hAnsi="Calibri"/>
                <w:sz w:val="19"/>
              </w:rPr>
              <w:t xml:space="preserve">≥ 80 %</w:t>
            </w:r>
            <w:r/>
          </w:p>
        </w:tc>
        <w:tc>
          <w:tcPr>
            <w:tcBorders/>
            <w:tcW w:w="1872" w:type="dxa"/>
          </w:tcPr>
          <w:p>
            <w:pPr>
              <w:pBdr/>
              <w:spacing/>
              <w:ind/>
              <w:rPr/>
            </w:pPr>
            <w:r>
              <w:rPr>
                <w:rFonts w:ascii="Calibri" w:hAnsi="Calibri"/>
                <w:sz w:val="19"/>
              </w:rPr>
              <w:t xml:space="preserve">95,5 %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1008" w:type="dxa"/>
          </w:tcPr>
          <w:p>
            <w:pPr>
              <w:pBdr/>
              <w:spacing/>
              <w:ind/>
              <w:rPr/>
            </w:pPr>
            <w:r>
              <w:rPr>
                <w:rFonts w:ascii="Calibri" w:hAnsi="Calibri"/>
                <w:sz w:val="19"/>
              </w:rPr>
              <w:t xml:space="preserve">RF-02</w:t>
            </w:r>
            <w:r/>
          </w:p>
        </w:tc>
        <w:tc>
          <w:tcPr>
            <w:shd w:val="clear" w:color="auto" w:fill="f6f2f5"/>
            <w:tcBorders/>
            <w:tcW w:w="3168" w:type="dxa"/>
          </w:tcPr>
          <w:p>
            <w:pPr>
              <w:pBdr/>
              <w:spacing/>
              <w:ind/>
              <w:rPr/>
            </w:pPr>
            <w:r>
              <w:rPr>
                <w:rFonts w:ascii="Calibri" w:hAnsi="Calibri"/>
                <w:sz w:val="19"/>
              </w:rPr>
              <w:t xml:space="preserve">Latencia visual p95</w:t>
            </w:r>
            <w:r/>
          </w:p>
        </w:tc>
        <w:tc>
          <w:tcPr>
            <w:shd w:val="clear" w:color="auto" w:fill="f6f2f5"/>
            <w:tcBorders/>
            <w:tcW w:w="1584" w:type="dxa"/>
          </w:tcPr>
          <w:p>
            <w:pPr>
              <w:pBdr/>
              <w:spacing/>
              <w:ind/>
              <w:rPr/>
            </w:pPr>
            <w:r>
              <w:rPr>
                <w:rFonts w:ascii="Calibri" w:hAnsi="Calibri"/>
                <w:sz w:val="19"/>
              </w:rPr>
              <w:t xml:space="preserve">&lt; 5 s</w:t>
            </w:r>
            <w:r/>
          </w:p>
        </w:tc>
        <w:tc>
          <w:tcPr>
            <w:shd w:val="clear" w:color="auto" w:fill="f6f2f5"/>
            <w:tcBorders/>
            <w:tcW w:w="1872" w:type="dxa"/>
          </w:tcPr>
          <w:p>
            <w:pPr>
              <w:pBdr/>
              <w:spacing/>
              <w:ind/>
              <w:rPr/>
            </w:pPr>
            <w:r>
              <w:rPr>
                <w:rFonts w:ascii="Calibri" w:hAnsi="Calibri"/>
                <w:sz w:val="19"/>
              </w:rPr>
              <w:t xml:space="preserve">215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1008" w:type="dxa"/>
          </w:tcPr>
          <w:p>
            <w:pPr>
              <w:pBdr/>
              <w:spacing/>
              <w:ind/>
              <w:rPr/>
            </w:pPr>
            <w:r>
              <w:rPr>
                <w:rFonts w:ascii="Calibri" w:hAnsi="Calibri"/>
                <w:sz w:val="19"/>
              </w:rPr>
              <w:t xml:space="preserve">RF-04</w:t>
            </w:r>
            <w:r/>
          </w:p>
        </w:tc>
        <w:tc>
          <w:tcPr>
            <w:tcBorders/>
            <w:tcW w:w="3168" w:type="dxa"/>
          </w:tcPr>
          <w:p>
            <w:pPr>
              <w:pBdr/>
              <w:spacing/>
              <w:ind/>
              <w:rPr/>
            </w:pPr>
            <w:r>
              <w:rPr>
                <w:rFonts w:ascii="Calibri" w:hAnsi="Calibri"/>
                <w:sz w:val="19"/>
              </w:rPr>
              <w:t xml:space="preserve">Coherencia jerárquica</w:t>
            </w:r>
            <w:r/>
          </w:p>
        </w:tc>
        <w:tc>
          <w:tcPr>
            <w:tcBorders/>
            <w:tcW w:w="1584" w:type="dxa"/>
          </w:tcPr>
          <w:p>
            <w:pPr>
              <w:pBdr/>
              <w:spacing/>
              <w:ind/>
              <w:rPr/>
            </w:pPr>
            <w:r>
              <w:rPr>
                <w:rFonts w:ascii="Calibri" w:hAnsi="Calibri"/>
                <w:sz w:val="19"/>
              </w:rPr>
              <w:t xml:space="preserve">&lt; 1 %</w:t>
            </w:r>
            <w:r/>
          </w:p>
        </w:tc>
        <w:tc>
          <w:tcPr>
            <w:tcBorders/>
            <w:tcW w:w="1872" w:type="dxa"/>
          </w:tcPr>
          <w:p>
            <w:pPr>
              <w:pBdr/>
              <w:spacing/>
              <w:ind/>
              <w:rPr/>
            </w:pPr>
            <w:r>
              <w:rPr>
                <w:rFonts w:ascii="Calibri" w:hAnsi="Calibri"/>
                <w:sz w:val="19"/>
              </w:rPr>
              <w:t xml:space="preserve">0,0000 %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1008" w:type="dxa"/>
          </w:tcPr>
          <w:p>
            <w:pPr>
              <w:pBdr/>
              <w:spacing/>
              <w:ind/>
              <w:rPr/>
            </w:pPr>
            <w:r>
              <w:rPr>
                <w:rFonts w:ascii="Calibri" w:hAnsi="Calibri"/>
                <w:sz w:val="19"/>
              </w:rPr>
              <w:t xml:space="preserve">RF-04</w:t>
            </w:r>
            <w:r/>
          </w:p>
        </w:tc>
        <w:tc>
          <w:tcPr>
            <w:shd w:val="clear" w:color="auto" w:fill="f6f2f5"/>
            <w:tcBorders/>
            <w:tcW w:w="3168" w:type="dxa"/>
          </w:tcPr>
          <w:p>
            <w:pPr>
              <w:pBdr/>
              <w:spacing/>
              <w:ind/>
              <w:rPr/>
            </w:pPr>
            <w:r>
              <w:rPr>
                <w:rFonts w:ascii="Calibri" w:hAnsi="Calibri"/>
                <w:sz w:val="19"/>
              </w:rPr>
              <w:t xml:space="preserve">Latencia de scoring</w:t>
            </w:r>
            <w:r/>
          </w:p>
        </w:tc>
        <w:tc>
          <w:tcPr>
            <w:shd w:val="clear" w:color="auto" w:fill="f6f2f5"/>
            <w:tcBorders/>
            <w:tcW w:w="1584" w:type="dxa"/>
          </w:tcPr>
          <w:p>
            <w:pPr>
              <w:pBdr/>
              <w:spacing/>
              <w:ind/>
              <w:rPr/>
            </w:pPr>
            <w:r>
              <w:rPr>
                <w:rFonts w:ascii="Calibri" w:hAnsi="Calibri"/>
                <w:sz w:val="19"/>
              </w:rPr>
              <w:t xml:space="preserve">&lt; 2 h</w:t>
            </w:r>
            <w:r/>
          </w:p>
        </w:tc>
        <w:tc>
          <w:tcPr>
            <w:shd w:val="clear" w:color="auto" w:fill="f6f2f5"/>
            <w:tcBorders/>
            <w:tcW w:w="1872" w:type="dxa"/>
          </w:tcPr>
          <w:p>
            <w:pPr>
              <w:pBdr/>
              <w:spacing/>
              <w:ind/>
              <w:rPr/>
            </w:pPr>
            <w:r>
              <w:rPr>
                <w:rFonts w:ascii="Calibri" w:hAnsi="Calibri"/>
                <w:sz w:val="19"/>
              </w:rPr>
              <w:t xml:space="preserve">87 ms</w:t>
            </w:r>
            <w:r/>
          </w:p>
        </w:tc>
        <w:tc>
          <w:tcPr>
            <w:shd w:val="clear" w:color="auto" w:fill="f6f2f5"/>
            <w:tcBorders/>
            <w:tcW w:w="1440" w:type="dxa"/>
          </w:tcPr>
          <w:p>
            <w:pPr>
              <w:pBdr/>
              <w:spacing/>
              <w:ind/>
              <w:rPr/>
            </w:pPr>
            <w:r>
              <w:rPr>
                <w:rFonts w:ascii="Calibri" w:hAnsi="Calibri"/>
                <w:sz w:val="19"/>
              </w:rPr>
              <w:t xml:space="preserve">Cumple</w:t>
            </w:r>
            <w:r/>
          </w:p>
        </w:tc>
      </w:tr>
      <w:tr>
        <w:trPr/>
        <w:tc>
          <w:tcPr>
            <w:tcBorders/>
            <w:tcW w:w="1008" w:type="dxa"/>
          </w:tcPr>
          <w:p>
            <w:pPr>
              <w:pBdr/>
              <w:spacing/>
              <w:ind/>
              <w:rPr/>
            </w:pPr>
            <w:r>
              <w:rPr>
                <w:rFonts w:ascii="Calibri" w:hAnsi="Calibri"/>
                <w:sz w:val="19"/>
              </w:rPr>
              <w:t xml:space="preserve">RF-04</w:t>
            </w:r>
            <w:r/>
          </w:p>
        </w:tc>
        <w:tc>
          <w:tcPr>
            <w:tcBorders/>
            <w:tcW w:w="3168" w:type="dxa"/>
          </w:tcPr>
          <w:p>
            <w:pPr>
              <w:pBdr/>
              <w:spacing/>
              <w:ind/>
              <w:rPr/>
            </w:pPr>
            <w:r>
              <w:rPr>
                <w:rFonts w:ascii="Calibri" w:hAnsi="Calibri"/>
                <w:sz w:val="19"/>
              </w:rPr>
              <w:t xml:space="preserve">Cobertura del catálogo</w:t>
            </w:r>
            <w:r/>
          </w:p>
        </w:tc>
        <w:tc>
          <w:tcPr>
            <w:tcBorders/>
            <w:tcW w:w="1584" w:type="dxa"/>
          </w:tcPr>
          <w:p>
            <w:pPr>
              <w:pBdr/>
              <w:spacing/>
              <w:ind/>
              <w:rPr/>
            </w:pPr>
            <w:r>
              <w:rPr>
                <w:rFonts w:ascii="Calibri" w:hAnsi="Calibri"/>
                <w:sz w:val="19"/>
              </w:rPr>
              <w:t xml:space="preserve">≥ 95 %</w:t>
            </w:r>
            <w:r/>
          </w:p>
        </w:tc>
        <w:tc>
          <w:tcPr>
            <w:tcBorders/>
            <w:tcW w:w="1872" w:type="dxa"/>
          </w:tcPr>
          <w:p>
            <w:pPr>
              <w:pBdr/>
              <w:spacing/>
              <w:ind/>
              <w:rPr/>
            </w:pPr>
            <w:r>
              <w:rPr>
                <w:rFonts w:ascii="Calibri" w:hAnsi="Calibri"/>
                <w:sz w:val="19"/>
              </w:rPr>
              <w:t xml:space="preserve">100 %</w:t>
            </w:r>
            <w:r/>
          </w:p>
        </w:tc>
        <w:tc>
          <w:tcPr>
            <w:tcBorders/>
            <w:tcW w:w="1440" w:type="dxa"/>
          </w:tcPr>
          <w:p>
            <w:pPr>
              <w:pBdr/>
              <w:spacing/>
              <w:ind/>
              <w:rPr/>
            </w:pPr>
            <w:r>
              <w:rPr>
                <w:rFonts w:ascii="Calibri" w:hAnsi="Calibri"/>
                <w:sz w:val="19"/>
              </w:rPr>
              <w:t xml:space="preserve">Cumple</w:t>
            </w:r>
            <w:r/>
          </w:p>
        </w:tc>
      </w:tr>
      <w:tr>
        <w:trPr/>
        <w:tc>
          <w:tcPr>
            <w:shd w:val="clear" w:color="auto" w:fill="f6f2f5"/>
            <w:tcBorders/>
            <w:tcW w:w="1008" w:type="dxa"/>
          </w:tcPr>
          <w:p>
            <w:pPr>
              <w:pBdr/>
              <w:spacing/>
              <w:ind/>
              <w:rPr/>
            </w:pPr>
            <w:r>
              <w:rPr>
                <w:rFonts w:ascii="Calibri" w:hAnsi="Calibri"/>
                <w:sz w:val="19"/>
              </w:rPr>
              <w:t xml:space="preserve">RF-04</w:t>
            </w:r>
            <w:r/>
          </w:p>
        </w:tc>
        <w:tc>
          <w:tcPr>
            <w:shd w:val="clear" w:color="auto" w:fill="f6f2f5"/>
            <w:tcBorders/>
            <w:tcW w:w="3168" w:type="dxa"/>
          </w:tcPr>
          <w:p>
            <w:pPr>
              <w:pBdr/>
              <w:spacing/>
              <w:ind/>
              <w:rPr/>
            </w:pPr>
            <w:r>
              <w:rPr>
                <w:rFonts w:ascii="Calibri" w:hAnsi="Calibri"/>
                <w:sz w:val="19"/>
              </w:rPr>
              <w:t xml:space="preserve">WRMSSE en holdout</w:t>
            </w:r>
            <w:r/>
          </w:p>
        </w:tc>
        <w:tc>
          <w:tcPr>
            <w:shd w:val="clear" w:color="auto" w:fill="f6f2f5"/>
            <w:tcBorders/>
            <w:tcW w:w="1584" w:type="dxa"/>
          </w:tcPr>
          <w:p>
            <w:pPr>
              <w:pBdr/>
              <w:spacing/>
              <w:ind/>
              <w:rPr/>
            </w:pPr>
            <w:r>
              <w:rPr>
                <w:rFonts w:ascii="Calibri" w:hAnsi="Calibri"/>
                <w:sz w:val="19"/>
              </w:rPr>
              <w:t xml:space="preserve">≤ 0,35</w:t>
            </w:r>
            <w:r/>
          </w:p>
        </w:tc>
        <w:tc>
          <w:tcPr>
            <w:shd w:val="clear" w:color="auto" w:fill="f6f2f5"/>
            <w:tcBorders/>
            <w:tcW w:w="1872" w:type="dxa"/>
          </w:tcPr>
          <w:p>
            <w:pPr>
              <w:pBdr/>
              <w:spacing/>
              <w:ind/>
              <w:rPr/>
            </w:pPr>
            <w:r>
              <w:rPr>
                <w:rFonts w:ascii="Calibri" w:hAnsi="Calibri"/>
                <w:sz w:val="19"/>
              </w:rPr>
              <w:t xml:space="preserve">0,669</w:t>
            </w:r>
            <w:r/>
          </w:p>
        </w:tc>
        <w:tc>
          <w:tcPr>
            <w:shd w:val="clear" w:color="auto" w:fill="f6f2f5"/>
            <w:tcBorders/>
            <w:tcW w:w="1440" w:type="dxa"/>
          </w:tcPr>
          <w:p>
            <w:pPr>
              <w:pBdr/>
              <w:spacing/>
              <w:ind/>
              <w:rPr/>
            </w:pPr>
            <w:r>
              <w:rPr>
                <w:rFonts w:ascii="Calibri" w:hAnsi="Calibri"/>
                <w:sz w:val="19"/>
              </w:rPr>
              <w:t xml:space="preserve">No alcanzable</w:t>
            </w:r>
            <w:r/>
          </w:p>
        </w:tc>
      </w:tr>
      <w:tr>
        <w:trPr/>
        <w:tc>
          <w:tcPr>
            <w:tcBorders/>
            <w:tcW w:w="1008" w:type="dxa"/>
          </w:tcPr>
          <w:p>
            <w:pPr>
              <w:pBdr/>
              <w:spacing/>
              <w:ind/>
              <w:rPr/>
            </w:pPr>
            <w:r>
              <w:rPr>
                <w:rFonts w:ascii="Calibri" w:hAnsi="Calibri"/>
                <w:sz w:val="19"/>
              </w:rPr>
              <w:t xml:space="preserve">RF-04</w:t>
            </w:r>
            <w:r/>
          </w:p>
        </w:tc>
        <w:tc>
          <w:tcPr>
            <w:tcBorders/>
            <w:tcW w:w="3168" w:type="dxa"/>
          </w:tcPr>
          <w:p>
            <w:pPr>
              <w:pBdr/>
              <w:spacing/>
              <w:ind/>
              <w:rPr/>
            </w:pPr>
            <w:r>
              <w:rPr>
                <w:rFonts w:ascii="Calibri" w:hAnsi="Calibri"/>
                <w:sz w:val="19"/>
              </w:rPr>
              <w:t xml:space="preserve">Mejora WAPE productos nuevos</w:t>
            </w:r>
            <w:r/>
          </w:p>
        </w:tc>
        <w:tc>
          <w:tcPr>
            <w:tcBorders/>
            <w:tcW w:w="1584" w:type="dxa"/>
          </w:tcPr>
          <w:p>
            <w:pPr>
              <w:pBdr/>
              <w:spacing/>
              <w:ind/>
              <w:rPr/>
            </w:pPr>
            <w:r>
              <w:rPr>
                <w:rFonts w:ascii="Calibri" w:hAnsi="Calibri"/>
                <w:sz w:val="19"/>
              </w:rPr>
              <w:t xml:space="preserve">≥ 10 %</w:t>
            </w:r>
            <w:r/>
          </w:p>
        </w:tc>
        <w:tc>
          <w:tcPr>
            <w:tcBorders/>
            <w:tcW w:w="1872" w:type="dxa"/>
          </w:tcPr>
          <w:p>
            <w:pPr>
              <w:pBdr/>
              <w:spacing/>
              <w:ind/>
              <w:rPr/>
            </w:pPr>
            <w:r>
              <w:rPr>
                <w:rFonts w:ascii="Calibri" w:hAnsi="Calibri"/>
                <w:sz w:val="19"/>
              </w:rPr>
              <w:t xml:space="preserve">+6,82 %</w:t>
            </w:r>
            <w:r/>
          </w:p>
        </w:tc>
        <w:tc>
          <w:tcPr>
            <w:tcBorders/>
            <w:tcW w:w="1440" w:type="dxa"/>
          </w:tcPr>
          <w:p>
            <w:pPr>
              <w:pBdr/>
              <w:spacing/>
              <w:ind/>
              <w:rPr/>
            </w:pPr>
            <w:r>
              <w:rPr>
                <w:rFonts w:ascii="Calibri" w:hAnsi="Calibri"/>
                <w:sz w:val="19"/>
              </w:rPr>
              <w:t xml:space="preserve">No alcanzado</w:t>
            </w:r>
            <w:r/>
          </w:p>
        </w:tc>
      </w:tr>
      <w:tr>
        <w:trPr/>
        <w:tc>
          <w:tcPr>
            <w:shd w:val="clear" w:color="auto" w:fill="f6f2f5"/>
            <w:tcBorders/>
            <w:tcW w:w="1008" w:type="dxa"/>
          </w:tcPr>
          <w:p>
            <w:pPr>
              <w:pBdr/>
              <w:spacing/>
              <w:ind/>
              <w:rPr/>
            </w:pPr>
            <w:r>
              <w:rPr>
                <w:rFonts w:ascii="Calibri" w:hAnsi="Calibri"/>
                <w:sz w:val="19"/>
              </w:rPr>
              <w:t xml:space="preserve">RF-04</w:t>
            </w:r>
            <w:r/>
          </w:p>
        </w:tc>
        <w:tc>
          <w:tcPr>
            <w:shd w:val="clear" w:color="auto" w:fill="f6f2f5"/>
            <w:tcBorders/>
            <w:tcW w:w="3168" w:type="dxa"/>
          </w:tcPr>
          <w:p>
            <w:pPr>
              <w:pBdr/>
              <w:spacing/>
              <w:ind/>
              <w:rPr/>
            </w:pPr>
            <w:r>
              <w:rPr>
                <w:rFonts w:ascii="Calibri" w:hAnsi="Calibri"/>
                <w:sz w:val="19"/>
              </w:rPr>
              <w:t xml:space="preserve">Reducción de inventario</w:t>
            </w:r>
            <w:r/>
          </w:p>
        </w:tc>
        <w:tc>
          <w:tcPr>
            <w:shd w:val="clear" w:color="auto" w:fill="f6f2f5"/>
            <w:tcBorders/>
            <w:tcW w:w="1584" w:type="dxa"/>
          </w:tcPr>
          <w:p>
            <w:pPr>
              <w:pBdr/>
              <w:spacing/>
              <w:ind/>
              <w:rPr/>
            </w:pPr>
            <w:r>
              <w:rPr>
                <w:rFonts w:ascii="Calibri" w:hAnsi="Calibri"/>
                <w:sz w:val="19"/>
              </w:rPr>
              <w:t xml:space="preserve">−5 % a −15 %</w:t>
            </w:r>
            <w:r/>
          </w:p>
        </w:tc>
        <w:tc>
          <w:tcPr>
            <w:shd w:val="clear" w:color="auto" w:fill="f6f2f5"/>
            <w:tcBorders/>
            <w:tcW w:w="1872" w:type="dxa"/>
          </w:tcPr>
          <w:p>
            <w:pPr>
              <w:pBdr/>
              <w:spacing/>
              <w:ind/>
              <w:rPr/>
            </w:pPr>
            <w:r>
              <w:rPr>
                <w:rFonts w:ascii="Calibri" w:hAnsi="Calibri"/>
                <w:sz w:val="19"/>
              </w:rPr>
              <w:t xml:space="preserve">+5,3 %</w:t>
            </w:r>
            <w:r/>
          </w:p>
        </w:tc>
        <w:tc>
          <w:tcPr>
            <w:shd w:val="clear" w:color="auto" w:fill="f6f2f5"/>
            <w:tcBorders/>
            <w:tcW w:w="1440" w:type="dxa"/>
          </w:tcPr>
          <w:p>
            <w:pPr>
              <w:pBdr/>
              <w:spacing/>
              <w:ind/>
              <w:rPr/>
            </w:pPr>
            <w:r>
              <w:rPr>
                <w:rFonts w:ascii="Calibri" w:hAnsi="Calibri"/>
                <w:sz w:val="19"/>
              </w:rPr>
              <w:t xml:space="preserve">No alcanzado</w:t>
            </w:r>
            <w:r/>
          </w:p>
        </w:tc>
      </w:tr>
    </w:tbl>
    <w:p>
      <w:pPr>
        <w:pBdr/>
        <w:spacing w:after="80"/>
        <w:ind/>
        <w:rPr/>
      </w:pPr>
      <w:r/>
      <w:r/>
    </w:p>
    <w:p>
      <w:pPr>
        <w:pStyle w:val="694"/>
        <w:pBdr/>
        <w:spacing/>
        <w:ind/>
        <w:rPr/>
      </w:pPr>
      <w:r>
        <w:t xml:space="preserve">Análisis de los criterios no alcanzados</w:t>
      </w:r>
      <w:r/>
    </w:p>
    <w:p>
      <w:pPr>
        <w:pBdr/>
        <w:spacing w:after="120" w:before="0"/>
        <w:ind/>
        <w:rPr/>
      </w:pPr>
      <w:r>
        <w:rPr>
          <w:b w:val="0"/>
          <w:i w:val="0"/>
          <w:color w:val="1c1b1d"/>
          <w:sz w:val="22"/>
        </w:rPr>
        <w:t xml:space="preserve">Los tres criterios marcados como no alcanzados se documentan con su causa técnica, que no es falta de implementación:</w:t>
      </w:r>
      <w:r/>
    </w:p>
    <w:p>
      <w:pPr>
        <w:pStyle w:val="723"/>
        <w:pBdr/>
        <w:spacing w:after="60"/>
        <w:ind/>
        <w:rPr/>
      </w:pPr>
      <w:r>
        <w:rPr>
          <w:rFonts w:ascii="Calibri" w:hAnsi="Calibri"/>
          <w:sz w:val="22"/>
        </w:rPr>
        <w:t xml:space="preserve">WRM</w:t>
      </w:r>
      <w:r>
        <w:rPr>
          <w:rFonts w:ascii="Calibri" w:hAnsi="Calibri"/>
          <w:sz w:val="22"/>
        </w:rPr>
        <w:t xml:space="preserve">SSE 0,669 frente al umbral de 0,35. Para demanda generada como proceso de Poisson, el mejor predictor posible tiene un error de √λ frente al √(2λ) del pronóstico ingenuo, lo que sitúa el suelo teórico de la métrica en aproximadamente 0,707. Se verificó por</w:t>
      </w:r>
      <w:r>
        <w:rPr>
          <w:rFonts w:ascii="Calibri" w:hAnsi="Calibri"/>
          <w:sz w:val="22"/>
        </w:rPr>
        <w:t xml:space="preserve"> simulación sobre 400 series. El modelo alcanza 0,669, es decir, por debajo de ese suelo teórico, gracias a la estacionalidad y las promociones, que sí son predecibles. El umbral de 0,35 procede de una competición con datos reales de varianza muy inferior.</w:t>
      </w:r>
      <w:r/>
    </w:p>
    <w:p>
      <w:pPr>
        <w:pStyle w:val="723"/>
        <w:pBdr/>
        <w:spacing w:after="60"/>
        <w:ind/>
        <w:rPr/>
      </w:pPr>
      <w:r>
        <w:rPr>
          <w:rFonts w:ascii="Calibri" w:hAnsi="Calibri"/>
          <w:sz w:val="22"/>
        </w:rPr>
        <w:t xml:space="preserve">Mejora de WAPE del 6,82 % frente al 10 % exigido. Se probó primero un modelo de </w:t>
      </w:r>
      <w:r>
        <w:rPr>
          <w:rFonts w:ascii="Calibri" w:hAnsi="Calibri"/>
          <w:sz w:val="22"/>
        </w:rPr>
        <w:t xml:space="preserve">refuerzo con 900 variables que resultó peor que los baselines por sobreajuste con 264 observaciones de entrenamiento; la sonda lineal regularizada sí supera a los dos baselines, pero el umbral se definió sobre un conjunto de 5.577 productos y aquí hay 334.</w:t>
      </w:r>
      <w:r/>
    </w:p>
    <w:p>
      <w:pPr>
        <w:pStyle w:val="723"/>
        <w:pBdr/>
        <w:spacing w:after="60"/>
        <w:ind/>
        <w:rPr/>
      </w:pPr>
      <w:r>
        <w:rPr>
          <w:rFonts w:ascii="Calibri" w:hAnsi="Calibri"/>
          <w:sz w:val="22"/>
        </w:rPr>
        <w:t xml:space="preserve">Inventario: el resultado es un intercambio, no una mejora doble. La política dinámica eleva el inventario un 5,3 % y reduce los faltantes un 92 %. Comparada a igual nivel de serv</w:t>
      </w:r>
      <w:r>
        <w:rPr>
          <w:rFonts w:ascii="Calibri" w:hAnsi="Calibri"/>
          <w:sz w:val="22"/>
        </w:rPr>
        <w:t xml:space="preserve">icio, la fórmula clásica resulta un 13 % peor, porque el stock de seguridad calculado como Z·σ·√LT sobreabastece la cola larga: para un producto con demanda media de 0,3 unidades semanales, la fórmula pide diez veces más protección que un porcentaje plano.</w:t>
      </w:r>
      <w:r/>
    </w:p>
    <w:p>
      <w:pPr>
        <w:pStyle w:val="693"/>
        <w:pBdr/>
        <w:spacing/>
        <w:ind/>
        <w:rPr/>
      </w:pPr>
      <w:r>
        <w:t xml:space="preserve">9. Cumplimiento de los 6 Puntos Evaluativos</w:t>
      </w:r>
      <w:r/>
    </w:p>
    <w:p>
      <w:pPr>
        <w:pBdr/>
        <w:spacing w:after="120" w:before="0"/>
        <w:ind/>
        <w:rPr/>
      </w:pPr>
      <w:r>
        <w:rPr>
          <w:b w:val="0"/>
          <w:i w:val="0"/>
          <w:color w:val="1c1b1d"/>
          <w:sz w:val="22"/>
        </w:rPr>
        <w:t xml:space="preserve">La plantilla de referencia cierra con un requisito evaluativo: presentar l</w:t>
      </w:r>
      <w:r>
        <w:rPr>
          <w:b w:val="0"/>
          <w:i w:val="0"/>
          <w:color w:val="1c1b1d"/>
          <w:sz w:val="22"/>
        </w:rPr>
        <w:t xml:space="preserve">a ejecución funcional de 6 puntos, demostrando que al menos las 3 funciones de IA consumen la API externa desde el backend y reflejan los datos dinámicamente en la interfaz. La tabla siguiente mapea cada punto con su evidencia verificable en este proyecto:</w:t>
      </w:r>
      <w:r/>
    </w:p>
    <w:tbl>
      <w:tblPr>
        <w:tblStyle w:val="753"/>
        <w:jc w:val="center"/>
        <w:tblW w:w="0" w:type="auto"/>
        <w:tblBorders/>
        <w:tblLook w:val="04A0" w:firstRow="1" w:lastRow="0" w:firstColumn="1" w:lastColumn="0" w:noHBand="0" w:noVBand="1"/>
      </w:tblPr>
      <w:tblGrid>
        <w:gridCol w:w="2412"/>
        <w:gridCol w:w="2412"/>
        <w:gridCol w:w="2412"/>
        <w:gridCol w:w="2412"/>
      </w:tblGrid>
      <w:tr>
        <w:trPr/>
        <w:tc>
          <w:tcPr>
            <w:shd w:val="clear" w:color="auto" w:fill="b60055"/>
            <w:tcBorders/>
            <w:tcW w:w="504" w:type="dxa"/>
          </w:tcPr>
          <w:p>
            <w:pPr>
              <w:pBdr/>
              <w:spacing/>
              <w:ind/>
              <w:rPr/>
            </w:pPr>
            <w:r>
              <w:rPr>
                <w:b/>
                <w:color w:val="ffffff"/>
                <w:sz w:val="20"/>
              </w:rPr>
              <w:t xml:space="preserve">#</w:t>
            </w:r>
            <w:r/>
          </w:p>
        </w:tc>
        <w:tc>
          <w:tcPr>
            <w:shd w:val="clear" w:color="auto" w:fill="b60055"/>
            <w:tcBorders/>
            <w:tcW w:w="2448" w:type="dxa"/>
          </w:tcPr>
          <w:p>
            <w:pPr>
              <w:pBdr/>
              <w:spacing/>
              <w:ind/>
              <w:rPr/>
            </w:pPr>
            <w:r>
              <w:rPr>
                <w:b/>
                <w:color w:val="ffffff"/>
                <w:sz w:val="20"/>
              </w:rPr>
              <w:t xml:space="preserve">Punto evaluativo</w:t>
            </w:r>
            <w:r/>
          </w:p>
        </w:tc>
        <w:tc>
          <w:tcPr>
            <w:shd w:val="clear" w:color="auto" w:fill="b60055"/>
            <w:tcBorders/>
            <w:tcW w:w="5328" w:type="dxa"/>
          </w:tcPr>
          <w:p>
            <w:pPr>
              <w:pBdr/>
              <w:spacing/>
              <w:ind/>
              <w:rPr/>
            </w:pPr>
            <w:r>
              <w:rPr>
                <w:b/>
                <w:color w:val="ffffff"/>
                <w:sz w:val="20"/>
              </w:rPr>
              <w:t xml:space="preserve">Evidencia en VivaModa</w:t>
            </w:r>
            <w:r/>
          </w:p>
        </w:tc>
        <w:tc>
          <w:tcPr>
            <w:shd w:val="clear" w:color="auto" w:fill="b60055"/>
            <w:tcBorders/>
            <w:tcW w:w="1080" w:type="dxa"/>
          </w:tcPr>
          <w:p>
            <w:pPr>
              <w:pBdr/>
              <w:spacing/>
              <w:ind/>
              <w:rPr/>
            </w:pPr>
            <w:r>
              <w:rPr>
                <w:b/>
                <w:color w:val="ffffff"/>
                <w:sz w:val="20"/>
              </w:rPr>
              <w:t xml:space="preserve">Estado</w:t>
            </w:r>
            <w:r/>
          </w:p>
        </w:tc>
      </w:tr>
      <w:tr>
        <w:trPr/>
        <w:tc>
          <w:tcPr>
            <w:tcBorders/>
            <w:tcW w:w="504" w:type="dxa"/>
          </w:tcPr>
          <w:p>
            <w:pPr>
              <w:pBdr/>
              <w:spacing/>
              <w:ind/>
              <w:rPr/>
            </w:pPr>
            <w:r>
              <w:rPr>
                <w:rFonts w:ascii="Calibri" w:hAnsi="Calibri"/>
                <w:sz w:val="19"/>
              </w:rPr>
              <w:t xml:space="preserve">1</w:t>
            </w:r>
            <w:r/>
          </w:p>
        </w:tc>
        <w:tc>
          <w:tcPr>
            <w:tcBorders/>
            <w:tcW w:w="2448" w:type="dxa"/>
          </w:tcPr>
          <w:p>
            <w:pPr>
              <w:pBdr/>
              <w:spacing/>
              <w:ind/>
              <w:rPr/>
            </w:pPr>
            <w:r>
              <w:rPr>
                <w:rFonts w:ascii="Calibri" w:hAnsi="Calibri"/>
                <w:sz w:val="19"/>
              </w:rPr>
              <w:t xml:space="preserve">Definición del problema complejo</w:t>
            </w:r>
            <w:r/>
          </w:p>
        </w:tc>
        <w:tc>
          <w:tcPr>
            <w:tcBorders/>
            <w:tcW w:w="5328" w:type="dxa"/>
          </w:tcPr>
          <w:p>
            <w:pPr>
              <w:pBdr/>
              <w:spacing/>
              <w:ind/>
              <w:rPr/>
            </w:pPr>
            <w:r>
              <w:rPr>
                <w:rFonts w:ascii="Calibri" w:hAnsi="Calibri"/>
                <w:sz w:val="19"/>
              </w:rPr>
              <w:t xml:space="preserve">Cuatro problemas identificados, incluidos dos que la plantilla no contempla: opacidad de la propia IA y demanda intermitente en moda.</w:t>
            </w:r>
            <w:r/>
          </w:p>
        </w:tc>
        <w:tc>
          <w:tcPr>
            <w:tcBorders/>
            <w:tcW w:w="1080" w:type="dxa"/>
          </w:tcPr>
          <w:p>
            <w:pPr>
              <w:pBdr/>
              <w:spacing/>
              <w:ind/>
              <w:rPr/>
            </w:pPr>
            <w:r>
              <w:rPr>
                <w:rFonts w:ascii="Calibri" w:hAnsi="Calibri"/>
                <w:sz w:val="19"/>
              </w:rPr>
              <w:t xml:space="preserve">Cumple</w:t>
            </w:r>
            <w:r/>
          </w:p>
        </w:tc>
      </w:tr>
      <w:tr>
        <w:trPr/>
        <w:tc>
          <w:tcPr>
            <w:shd w:val="clear" w:color="auto" w:fill="f6f2f5"/>
            <w:tcBorders/>
            <w:tcW w:w="504" w:type="dxa"/>
          </w:tcPr>
          <w:p>
            <w:pPr>
              <w:pBdr/>
              <w:spacing/>
              <w:ind/>
              <w:rPr/>
            </w:pPr>
            <w:r>
              <w:rPr>
                <w:rFonts w:ascii="Calibri" w:hAnsi="Calibri"/>
                <w:sz w:val="19"/>
              </w:rPr>
              <w:t xml:space="preserve">2</w:t>
            </w:r>
            <w:r/>
          </w:p>
        </w:tc>
        <w:tc>
          <w:tcPr>
            <w:shd w:val="clear" w:color="auto" w:fill="f6f2f5"/>
            <w:tcBorders/>
            <w:tcW w:w="2448" w:type="dxa"/>
          </w:tcPr>
          <w:p>
            <w:pPr>
              <w:pBdr/>
              <w:spacing/>
              <w:ind/>
              <w:rPr/>
            </w:pPr>
            <w:r>
              <w:rPr>
                <w:rFonts w:ascii="Calibri" w:hAnsi="Calibri"/>
                <w:sz w:val="19"/>
              </w:rPr>
              <w:t xml:space="preserve">Definición del aplicativo web básico</w:t>
            </w:r>
            <w:r/>
          </w:p>
        </w:tc>
        <w:tc>
          <w:tcPr>
            <w:shd w:val="clear" w:color="auto" w:fill="f6f2f5"/>
            <w:tcBorders/>
            <w:tcW w:w="5328" w:type="dxa"/>
          </w:tcPr>
          <w:p>
            <w:pPr>
              <w:pBdr/>
              <w:spacing/>
              <w:ind/>
              <w:rPr/>
            </w:pPr>
            <w:r>
              <w:rPr>
                <w:rFonts w:ascii="Calibri" w:hAnsi="Calibri"/>
                <w:sz w:val="19"/>
              </w:rPr>
              <w:t xml:space="preserve">Aplicación web operativa con 12 vistas servidas por Node/Express, autenticación por roles (cliente, staff, admin) y sin paso de compilación.</w:t>
            </w:r>
            <w:r/>
          </w:p>
        </w:tc>
        <w:tc>
          <w:tcPr>
            <w:shd w:val="clear" w:color="auto" w:fill="f6f2f5"/>
            <w:tcBorders/>
            <w:tcW w:w="1080" w:type="dxa"/>
          </w:tcPr>
          <w:p>
            <w:pPr>
              <w:pBdr/>
              <w:spacing/>
              <w:ind/>
              <w:rPr/>
            </w:pPr>
            <w:r>
              <w:rPr>
                <w:rFonts w:ascii="Calibri" w:hAnsi="Calibri"/>
                <w:sz w:val="19"/>
              </w:rPr>
              <w:t xml:space="preserve">Cumple</w:t>
            </w:r>
            <w:r/>
          </w:p>
        </w:tc>
      </w:tr>
      <w:tr>
        <w:trPr/>
        <w:tc>
          <w:tcPr>
            <w:tcBorders/>
            <w:tcW w:w="504" w:type="dxa"/>
          </w:tcPr>
          <w:p>
            <w:pPr>
              <w:pBdr/>
              <w:spacing/>
              <w:ind/>
              <w:rPr/>
            </w:pPr>
            <w:r>
              <w:rPr>
                <w:rFonts w:ascii="Calibri" w:hAnsi="Calibri"/>
                <w:sz w:val="19"/>
              </w:rPr>
              <w:t xml:space="preserve">3</w:t>
            </w:r>
            <w:r/>
          </w:p>
        </w:tc>
        <w:tc>
          <w:tcPr>
            <w:tcBorders/>
            <w:tcW w:w="2448" w:type="dxa"/>
          </w:tcPr>
          <w:p>
            <w:pPr>
              <w:pBdr/>
              <w:spacing/>
              <w:ind/>
              <w:rPr/>
            </w:pPr>
            <w:r>
              <w:rPr>
                <w:rFonts w:ascii="Calibri" w:hAnsi="Calibri"/>
                <w:sz w:val="19"/>
              </w:rPr>
              <w:t xml:space="preserve">Caracterización de requerimientos funcionales con IA</w:t>
            </w:r>
            <w:r/>
          </w:p>
        </w:tc>
        <w:tc>
          <w:tcPr>
            <w:tcBorders/>
            <w:tcW w:w="5328" w:type="dxa"/>
          </w:tcPr>
          <w:p>
            <w:pPr>
              <w:pBdr/>
              <w:spacing/>
              <w:ind/>
              <w:rPr/>
            </w:pPr>
            <w:r>
              <w:rPr>
                <w:rFonts w:ascii="Calibri" w:hAnsi="Calibri"/>
                <w:sz w:val="19"/>
              </w:rPr>
              <w:t xml:space="preserve">No 3, sino 4 módulos: chatbot Aria, asesor visual con RAG, ayudante de administración y previsión de demanda con optimización de inventario.</w:t>
            </w:r>
            <w:r/>
          </w:p>
        </w:tc>
        <w:tc>
          <w:tcPr>
            <w:tcBorders/>
            <w:tcW w:w="1080" w:type="dxa"/>
          </w:tcPr>
          <w:p>
            <w:pPr>
              <w:pBdr/>
              <w:spacing/>
              <w:ind/>
              <w:rPr/>
            </w:pPr>
            <w:r>
              <w:rPr>
                <w:rFonts w:ascii="Calibri" w:hAnsi="Calibri"/>
                <w:sz w:val="19"/>
              </w:rPr>
              <w:t xml:space="preserve">Supera</w:t>
            </w:r>
            <w:r/>
          </w:p>
        </w:tc>
      </w:tr>
      <w:tr>
        <w:trPr/>
        <w:tc>
          <w:tcPr>
            <w:shd w:val="clear" w:color="auto" w:fill="f6f2f5"/>
            <w:tcBorders/>
            <w:tcW w:w="504" w:type="dxa"/>
          </w:tcPr>
          <w:p>
            <w:pPr>
              <w:pBdr/>
              <w:spacing/>
              <w:ind/>
              <w:rPr/>
            </w:pPr>
            <w:r>
              <w:rPr>
                <w:rFonts w:ascii="Calibri" w:hAnsi="Calibri"/>
                <w:sz w:val="19"/>
              </w:rPr>
              <w:t xml:space="preserve">4</w:t>
            </w:r>
            <w:r/>
          </w:p>
        </w:tc>
        <w:tc>
          <w:tcPr>
            <w:shd w:val="clear" w:color="auto" w:fill="f6f2f5"/>
            <w:tcBorders/>
            <w:tcW w:w="2448" w:type="dxa"/>
          </w:tcPr>
          <w:p>
            <w:pPr>
              <w:pBdr/>
              <w:spacing/>
              <w:ind/>
              <w:rPr/>
            </w:pPr>
            <w:r>
              <w:rPr>
                <w:rFonts w:ascii="Calibri" w:hAnsi="Calibri"/>
                <w:sz w:val="19"/>
              </w:rPr>
              <w:t xml:space="preserve">Diagrama de base de datos relacional</w:t>
            </w:r>
            <w:r/>
          </w:p>
        </w:tc>
        <w:tc>
          <w:tcPr>
            <w:shd w:val="clear" w:color="auto" w:fill="f6f2f5"/>
            <w:tcBorders/>
            <w:tcW w:w="5328" w:type="dxa"/>
          </w:tcPr>
          <w:p>
            <w:pPr>
              <w:pBdr/>
              <w:spacing/>
              <w:ind/>
              <w:rPr/>
            </w:pPr>
            <w:r>
              <w:rPr>
                <w:rFonts w:ascii="Calibri" w:hAnsi="Calibri"/>
                <w:sz w:val="19"/>
              </w:rPr>
              <w:t xml:space="preserve">Más de 25 tablas agrupadas en 7 dominios, con extensión vectorial pgvector y registro de features con control de fuga de información.</w:t>
            </w:r>
            <w:r/>
          </w:p>
        </w:tc>
        <w:tc>
          <w:tcPr>
            <w:shd w:val="clear" w:color="auto" w:fill="f6f2f5"/>
            <w:tcBorders/>
            <w:tcW w:w="1080" w:type="dxa"/>
          </w:tcPr>
          <w:p>
            <w:pPr>
              <w:pBdr/>
              <w:spacing/>
              <w:ind/>
              <w:rPr/>
            </w:pPr>
            <w:r>
              <w:rPr>
                <w:rFonts w:ascii="Calibri" w:hAnsi="Calibri"/>
                <w:sz w:val="19"/>
              </w:rPr>
              <w:t xml:space="preserve">Supera</w:t>
            </w:r>
            <w:r/>
          </w:p>
        </w:tc>
      </w:tr>
      <w:tr>
        <w:trPr/>
        <w:tc>
          <w:tcPr>
            <w:tcBorders/>
            <w:tcW w:w="504" w:type="dxa"/>
          </w:tcPr>
          <w:p>
            <w:pPr>
              <w:pBdr/>
              <w:spacing/>
              <w:ind/>
              <w:rPr/>
            </w:pPr>
            <w:r>
              <w:rPr>
                <w:rFonts w:ascii="Calibri" w:hAnsi="Calibri"/>
                <w:sz w:val="19"/>
              </w:rPr>
              <w:t xml:space="preserve">5</w:t>
            </w:r>
            <w:r/>
          </w:p>
        </w:tc>
        <w:tc>
          <w:tcPr>
            <w:tcBorders/>
            <w:tcW w:w="2448" w:type="dxa"/>
          </w:tcPr>
          <w:p>
            <w:pPr>
              <w:pBdr/>
              <w:spacing/>
              <w:ind/>
              <w:rPr/>
            </w:pPr>
            <w:r>
              <w:rPr>
                <w:rFonts w:ascii="Calibri" w:hAnsi="Calibri"/>
                <w:sz w:val="19"/>
              </w:rPr>
              <w:t xml:space="preserve">Procedimiento de integración (API externa)</w:t>
            </w:r>
            <w:r/>
          </w:p>
        </w:tc>
        <w:tc>
          <w:tcPr>
            <w:tcBorders/>
            <w:tcW w:w="5328" w:type="dxa"/>
          </w:tcPr>
          <w:p>
            <w:pPr>
              <w:pBdr/>
              <w:spacing/>
              <w:ind/>
              <w:rPr/>
            </w:pPr>
            <w:r>
              <w:rPr>
                <w:rFonts w:ascii="Calibri" w:hAnsi="Calibri"/>
                <w:sz w:val="19"/>
              </w:rPr>
              <w:t xml:space="preserve">Cinco etapas implementadas, más un planificador híbrido que evita la llamada al LLM cuando la heurística local basta, y telemetría de consumo por llamada.</w:t>
            </w:r>
            <w:r/>
          </w:p>
        </w:tc>
        <w:tc>
          <w:tcPr>
            <w:tcBorders/>
            <w:tcW w:w="1080" w:type="dxa"/>
          </w:tcPr>
          <w:p>
            <w:pPr>
              <w:pBdr/>
              <w:spacing/>
              <w:ind/>
              <w:rPr/>
            </w:pPr>
            <w:r>
              <w:rPr>
                <w:rFonts w:ascii="Calibri" w:hAnsi="Calibri"/>
                <w:sz w:val="19"/>
              </w:rPr>
              <w:t xml:space="preserve">Supera</w:t>
            </w:r>
            <w:r/>
          </w:p>
        </w:tc>
      </w:tr>
      <w:tr>
        <w:trPr/>
        <w:tc>
          <w:tcPr>
            <w:shd w:val="clear" w:color="auto" w:fill="f6f2f5"/>
            <w:tcBorders/>
            <w:tcW w:w="504" w:type="dxa"/>
          </w:tcPr>
          <w:p>
            <w:pPr>
              <w:pBdr/>
              <w:spacing/>
              <w:ind/>
              <w:rPr/>
            </w:pPr>
            <w:r>
              <w:rPr>
                <w:rFonts w:ascii="Calibri" w:hAnsi="Calibri"/>
                <w:sz w:val="19"/>
              </w:rPr>
              <w:t xml:space="preserve">6</w:t>
            </w:r>
            <w:r/>
          </w:p>
        </w:tc>
        <w:tc>
          <w:tcPr>
            <w:shd w:val="clear" w:color="auto" w:fill="f6f2f5"/>
            <w:tcBorders/>
            <w:tcW w:w="2448" w:type="dxa"/>
          </w:tcPr>
          <w:p>
            <w:pPr>
              <w:pBdr/>
              <w:spacing/>
              <w:ind/>
              <w:rPr/>
            </w:pPr>
            <w:r>
              <w:rPr>
                <w:rFonts w:ascii="Calibri" w:hAnsi="Calibri"/>
                <w:sz w:val="19"/>
              </w:rPr>
              <w:t xml:space="preserve">Funcionamiento arquitectónico (backend y frontend)</w:t>
            </w:r>
            <w:r/>
          </w:p>
        </w:tc>
        <w:tc>
          <w:tcPr>
            <w:shd w:val="clear" w:color="auto" w:fill="f6f2f5"/>
            <w:tcBorders/>
            <w:tcW w:w="5328" w:type="dxa"/>
          </w:tcPr>
          <w:p>
            <w:pPr>
              <w:pBdr/>
              <w:spacing/>
              <w:ind/>
              <w:rPr/>
            </w:pPr>
            <w:r>
              <w:rPr>
                <w:rFonts w:ascii="Calibri" w:hAnsi="Calibri"/>
                <w:sz w:val="19"/>
              </w:rPr>
              <w:t xml:space="preserve">Backend proxy con degradación elegante a motor local; frontend con consumo asíncrono, renderizado dinámico y streaming por SSE.</w:t>
            </w:r>
            <w:r/>
          </w:p>
        </w:tc>
        <w:tc>
          <w:tcPr>
            <w:shd w:val="clear" w:color="auto" w:fill="f6f2f5"/>
            <w:tcBorders/>
            <w:tcW w:w="1080" w:type="dxa"/>
          </w:tcPr>
          <w:p>
            <w:pPr>
              <w:pBdr/>
              <w:spacing/>
              <w:ind/>
              <w:rPr/>
            </w:pPr>
            <w:r>
              <w:rPr>
                <w:rFonts w:ascii="Calibri" w:hAnsi="Calibri"/>
                <w:sz w:val="19"/>
              </w:rPr>
              <w:t xml:space="preserve">Cumple</w:t>
            </w:r>
            <w:r/>
          </w:p>
        </w:tc>
      </w:tr>
    </w:tbl>
    <w:p>
      <w:pPr>
        <w:pBdr/>
        <w:spacing w:after="80"/>
        <w:ind/>
        <w:rPr/>
      </w:pPr>
      <w:r/>
      <w:r/>
    </w:p>
    <w:p>
      <w:pPr>
        <w:pStyle w:val="694"/>
        <w:pBdr/>
        <w:spacing/>
        <w:ind/>
        <w:rPr/>
      </w:pPr>
      <w:r>
        <w:t xml:space="preserve">Contraste con el mínimo de la Opción 1</w:t>
      </w:r>
      <w:r/>
    </w:p>
    <w:p>
      <w:pPr>
        <w:pBdr/>
        <w:spacing w:after="120" w:before="0"/>
        <w:ind/>
        <w:rPr/>
      </w:pPr>
      <w:r>
        <w:rPr>
          <w:b w:val="0"/>
          <w:i w:val="0"/>
          <w:color w:val="1c1b1d"/>
          <w:sz w:val="22"/>
        </w:rPr>
        <w:t xml:space="preserve">El requisito mínimo exige que las funciones de IA consuman una API externa. VivaModa lo cumple, pero añade capacidades que la Opción 1 no contempla:</w:t>
      </w:r>
      <w:r/>
    </w:p>
    <w:tbl>
      <w:tblPr>
        <w:tblStyle w:val="753"/>
        <w:jc w:val="center"/>
        <w:tblW w:w="0" w:type="auto"/>
        <w:tblBorders/>
        <w:tblLook w:val="04A0" w:firstRow="1" w:lastRow="0" w:firstColumn="1" w:lastColumn="0" w:noHBand="0" w:noVBand="1"/>
      </w:tblPr>
      <w:tblGrid>
        <w:gridCol w:w="3216"/>
        <w:gridCol w:w="3216"/>
        <w:gridCol w:w="3216"/>
      </w:tblGrid>
      <w:tr>
        <w:trPr/>
        <w:tc>
          <w:tcPr>
            <w:shd w:val="clear" w:color="auto" w:fill="b60055"/>
            <w:tcBorders/>
            <w:tcW w:w="1944" w:type="dxa"/>
          </w:tcPr>
          <w:p>
            <w:pPr>
              <w:pBdr/>
              <w:spacing/>
              <w:ind/>
              <w:rPr/>
            </w:pPr>
            <w:r>
              <w:rPr>
                <w:b/>
                <w:color w:val="ffffff"/>
                <w:sz w:val="20"/>
              </w:rPr>
              <w:t xml:space="preserve">Dimensión</w:t>
            </w:r>
            <w:r/>
          </w:p>
        </w:tc>
        <w:tc>
          <w:tcPr>
            <w:shd w:val="clear" w:color="auto" w:fill="b60055"/>
            <w:tcBorders/>
            <w:tcW w:w="2736" w:type="dxa"/>
          </w:tcPr>
          <w:p>
            <w:pPr>
              <w:pBdr/>
              <w:spacing/>
              <w:ind/>
              <w:rPr/>
            </w:pPr>
            <w:r>
              <w:rPr>
                <w:b/>
                <w:color w:val="ffffff"/>
                <w:sz w:val="20"/>
              </w:rPr>
              <w:t xml:space="preserve">Mínimo exigido (Opción 1)</w:t>
            </w:r>
            <w:r/>
          </w:p>
        </w:tc>
        <w:tc>
          <w:tcPr>
            <w:shd w:val="clear" w:color="auto" w:fill="b60055"/>
            <w:tcBorders/>
            <w:tcW w:w="4680" w:type="dxa"/>
          </w:tcPr>
          <w:p>
            <w:pPr>
              <w:pBdr/>
              <w:spacing/>
              <w:ind/>
              <w:rPr/>
            </w:pPr>
            <w:r>
              <w:rPr>
                <w:b/>
                <w:color w:val="ffffff"/>
                <w:sz w:val="20"/>
              </w:rPr>
              <w:t xml:space="preserve">Implementado en VivaModa</w:t>
            </w:r>
            <w:r/>
          </w:p>
        </w:tc>
      </w:tr>
      <w:tr>
        <w:trPr/>
        <w:tc>
          <w:tcPr>
            <w:tcBorders/>
            <w:tcW w:w="1944" w:type="dxa"/>
          </w:tcPr>
          <w:p>
            <w:pPr>
              <w:pBdr/>
              <w:spacing/>
              <w:ind/>
              <w:rPr/>
            </w:pPr>
            <w:r>
              <w:rPr>
                <w:rFonts w:ascii="Calibri" w:hAnsi="Calibri"/>
                <w:sz w:val="19"/>
              </w:rPr>
              <w:t xml:space="preserve">Modelo de IA</w:t>
            </w:r>
            <w:r/>
          </w:p>
        </w:tc>
        <w:tc>
          <w:tcPr>
            <w:tcBorders/>
            <w:tcW w:w="2736" w:type="dxa"/>
          </w:tcPr>
          <w:p>
            <w:pPr>
              <w:pBdr/>
              <w:spacing/>
              <w:ind/>
              <w:rPr/>
            </w:pPr>
            <w:r>
              <w:rPr>
                <w:rFonts w:ascii="Calibri" w:hAnsi="Calibri"/>
                <w:sz w:val="19"/>
              </w:rPr>
              <w:t xml:space="preserve">API externa consumida por HTTP</w:t>
            </w:r>
            <w:r/>
          </w:p>
        </w:tc>
        <w:tc>
          <w:tcPr>
            <w:tcBorders/>
            <w:tcW w:w="4680" w:type="dxa"/>
          </w:tcPr>
          <w:p>
            <w:pPr>
              <w:pBdr/>
              <w:spacing/>
              <w:ind/>
              <w:rPr/>
            </w:pPr>
            <w:r>
              <w:rPr>
                <w:rFonts w:ascii="Calibri" w:hAnsi="Calibri"/>
                <w:sz w:val="19"/>
              </w:rPr>
              <w:t xml:space="preserve">API externa (DeepSeek) + modelo local FashionCLIP de 150 M de parámetros ejecutándose en el servidor, sin coste por consulta</w:t>
            </w:r>
            <w:r/>
          </w:p>
        </w:tc>
      </w:tr>
      <w:tr>
        <w:trPr/>
        <w:tc>
          <w:tcPr>
            <w:shd w:val="clear" w:color="auto" w:fill="f6f2f5"/>
            <w:tcBorders/>
            <w:tcW w:w="1944" w:type="dxa"/>
          </w:tcPr>
          <w:p>
            <w:pPr>
              <w:pBdr/>
              <w:spacing/>
              <w:ind/>
              <w:rPr/>
            </w:pPr>
            <w:r>
              <w:rPr>
                <w:rFonts w:ascii="Calibri" w:hAnsi="Calibri"/>
                <w:sz w:val="19"/>
              </w:rPr>
              <w:t xml:space="preserve">Recuperación de información</w:t>
            </w:r>
            <w:r/>
          </w:p>
        </w:tc>
        <w:tc>
          <w:tcPr>
            <w:shd w:val="clear" w:color="auto" w:fill="f6f2f5"/>
            <w:tcBorders/>
            <w:tcW w:w="2736" w:type="dxa"/>
          </w:tcPr>
          <w:p>
            <w:pPr>
              <w:pBdr/>
              <w:spacing/>
              <w:ind/>
              <w:rPr/>
            </w:pPr>
            <w:r>
              <w:rPr>
                <w:rFonts w:ascii="Calibri" w:hAnsi="Calibri"/>
                <w:sz w:val="19"/>
              </w:rPr>
              <w:t xml:space="preserve">Catálogo inyectado completo en el prompt</w:t>
            </w:r>
            <w:r/>
          </w:p>
        </w:tc>
        <w:tc>
          <w:tcPr>
            <w:shd w:val="clear" w:color="auto" w:fill="f6f2f5"/>
            <w:tcBorders/>
            <w:tcW w:w="4680" w:type="dxa"/>
          </w:tcPr>
          <w:p>
            <w:pPr>
              <w:pBdr/>
              <w:spacing/>
              <w:ind/>
              <w:rPr/>
            </w:pPr>
            <w:r>
              <w:rPr>
                <w:rFonts w:ascii="Calibri" w:hAnsi="Calibri"/>
                <w:sz w:val="19"/>
              </w:rPr>
              <w:t xml:space="preserve">Búsqueda vectorial sobre pgvector con embeddings de 512 dimensiones, re-ranking por atributos y verificación de grounding posterior</w:t>
            </w:r>
            <w:r/>
          </w:p>
        </w:tc>
      </w:tr>
      <w:tr>
        <w:trPr/>
        <w:tc>
          <w:tcPr>
            <w:tcBorders/>
            <w:tcW w:w="1944" w:type="dxa"/>
          </w:tcPr>
          <w:p>
            <w:pPr>
              <w:pBdr/>
              <w:spacing/>
              <w:ind/>
              <w:rPr/>
            </w:pPr>
            <w:r>
              <w:rPr>
                <w:rFonts w:ascii="Calibri" w:hAnsi="Calibri"/>
                <w:sz w:val="19"/>
              </w:rPr>
              <w:t xml:space="preserve">Analítica</w:t>
            </w:r>
            <w:r/>
          </w:p>
        </w:tc>
        <w:tc>
          <w:tcPr>
            <w:tcBorders/>
            <w:tcW w:w="2736" w:type="dxa"/>
          </w:tcPr>
          <w:p>
            <w:pPr>
              <w:pBdr/>
              <w:spacing/>
              <w:ind/>
              <w:rPr/>
            </w:pPr>
            <w:r>
              <w:rPr>
                <w:rFonts w:ascii="Calibri" w:hAnsi="Calibri"/>
                <w:sz w:val="19"/>
              </w:rPr>
              <w:t xml:space="preserve">No contemplada</w:t>
            </w:r>
            <w:r/>
          </w:p>
        </w:tc>
        <w:tc>
          <w:tcPr>
            <w:tcBorders/>
            <w:tcW w:w="4680" w:type="dxa"/>
          </w:tcPr>
          <w:p>
            <w:pPr>
              <w:pBdr/>
              <w:spacing/>
              <w:ind/>
              <w:rPr/>
            </w:pPr>
            <w:r>
              <w:rPr>
                <w:rFonts w:ascii="Calibri" w:hAnsi="Calibri"/>
                <w:sz w:val="19"/>
              </w:rPr>
              <w:t xml:space="preserve">Modelo predictivo propio (XGBoost de dos etapas para demanda intermitente) con explicabilidad SHAP y auditoría de variables</w:t>
            </w:r>
            <w:r/>
          </w:p>
        </w:tc>
      </w:tr>
      <w:tr>
        <w:trPr/>
        <w:tc>
          <w:tcPr>
            <w:shd w:val="clear" w:color="auto" w:fill="f6f2f5"/>
            <w:tcBorders/>
            <w:tcW w:w="1944" w:type="dxa"/>
          </w:tcPr>
          <w:p>
            <w:pPr>
              <w:pBdr/>
              <w:spacing/>
              <w:ind/>
              <w:rPr/>
            </w:pPr>
            <w:r>
              <w:rPr>
                <w:rFonts w:ascii="Calibri" w:hAnsi="Calibri"/>
                <w:sz w:val="19"/>
              </w:rPr>
              <w:t xml:space="preserve">Gobierno de IA</w:t>
            </w:r>
            <w:r/>
          </w:p>
        </w:tc>
        <w:tc>
          <w:tcPr>
            <w:shd w:val="clear" w:color="auto" w:fill="f6f2f5"/>
            <w:tcBorders/>
            <w:tcW w:w="2736" w:type="dxa"/>
          </w:tcPr>
          <w:p>
            <w:pPr>
              <w:pBdr/>
              <w:spacing/>
              <w:ind/>
              <w:rPr/>
            </w:pPr>
            <w:r>
              <w:rPr>
                <w:rFonts w:ascii="Calibri" w:hAnsi="Calibri"/>
                <w:sz w:val="19"/>
              </w:rPr>
              <w:t xml:space="preserve">No contemplado</w:t>
            </w:r>
            <w:r/>
          </w:p>
        </w:tc>
        <w:tc>
          <w:tcPr>
            <w:shd w:val="clear" w:color="auto" w:fill="f6f2f5"/>
            <w:tcBorders/>
            <w:tcW w:w="4680" w:type="dxa"/>
          </w:tcPr>
          <w:p>
            <w:pPr>
              <w:pBdr/>
              <w:spacing/>
              <w:ind/>
              <w:rPr/>
            </w:pPr>
            <w:r>
              <w:rPr>
                <w:rFonts w:ascii="Calibri" w:hAnsi="Calibri"/>
                <w:sz w:val="19"/>
              </w:rPr>
              <w:t xml:space="preserve">Telemetría por llamada (tokens, caché, coste, latencia, error), reglas de negocio editables sin desplegar y monitorización de drift por PSI</w:t>
            </w:r>
            <w:r/>
          </w:p>
        </w:tc>
      </w:tr>
      <w:tr>
        <w:trPr/>
        <w:tc>
          <w:tcPr>
            <w:tcBorders/>
            <w:tcW w:w="1944" w:type="dxa"/>
          </w:tcPr>
          <w:p>
            <w:pPr>
              <w:pBdr/>
              <w:spacing/>
              <w:ind/>
              <w:rPr/>
            </w:pPr>
            <w:r>
              <w:rPr>
                <w:rFonts w:ascii="Calibri" w:hAnsi="Calibri"/>
                <w:sz w:val="19"/>
              </w:rPr>
              <w:t xml:space="preserve">Persistencia del conocimiento</w:t>
            </w:r>
            <w:r/>
          </w:p>
        </w:tc>
        <w:tc>
          <w:tcPr>
            <w:tcBorders/>
            <w:tcW w:w="2736" w:type="dxa"/>
          </w:tcPr>
          <w:p>
            <w:pPr>
              <w:pBdr/>
              <w:spacing/>
              <w:ind/>
              <w:rPr/>
            </w:pPr>
            <w:r>
              <w:rPr>
                <w:rFonts w:ascii="Calibri" w:hAnsi="Calibri"/>
                <w:sz w:val="19"/>
              </w:rPr>
              <w:t xml:space="preserve">Columna ia_log con el JSON de respuesta</w:t>
            </w:r>
            <w:r/>
          </w:p>
        </w:tc>
        <w:tc>
          <w:tcPr>
            <w:tcBorders/>
            <w:tcW w:w="4680" w:type="dxa"/>
          </w:tcPr>
          <w:p>
            <w:pPr>
              <w:pBdr/>
              <w:spacing/>
              <w:ind/>
              <w:rPr/>
            </w:pPr>
            <w:r>
              <w:rPr>
                <w:rFonts w:ascii="Calibri" w:hAnsi="Calibri"/>
                <w:sz w:val="19"/>
              </w:rPr>
              <w:t xml:space="preserve">Seis tablas dedicadas: trazas, memoria del cliente, telemetría, configuración, conocimiento y registro de experimentos</w:t>
            </w:r>
            <w:r/>
          </w:p>
        </w:tc>
      </w:tr>
    </w:tbl>
    <w:p>
      <w:pPr>
        <w:pBdr/>
        <w:spacing w:after="80"/>
        <w:ind/>
        <w:rPr/>
      </w:pPr>
      <w:r/>
      <w:r/>
    </w:p>
    <w:p>
      <w:pPr>
        <w:pStyle w:val="693"/>
        <w:pBdr/>
        <w:spacing/>
        <w:ind/>
        <w:rPr/>
      </w:pPr>
      <w:r>
        <w:t xml:space="preserve">10. Conclusiones</w:t>
      </w:r>
      <w:r/>
    </w:p>
    <w:p>
      <w:pPr>
        <w:pBdr/>
        <w:spacing w:after="120" w:before="0"/>
        <w:ind/>
        <w:rPr/>
      </w:pPr>
      <w:r>
        <w:rPr>
          <w:b w:val="0"/>
          <w:i w:val="0"/>
          <w:color w:val="1c1b1d"/>
          <w:sz w:val="22"/>
        </w:rPr>
        <w:t xml:space="preserve">El proyecto VivaModa integra cuatro módulos de Inteligencia Artificial —chatbot estilista con memoria, asesor visual con recupe</w:t>
      </w:r>
      <w:r>
        <w:rPr>
          <w:b w:val="0"/>
          <w:i w:val="0"/>
          <w:color w:val="1c1b1d"/>
          <w:sz w:val="22"/>
        </w:rPr>
        <w:t xml:space="preserve">ración semántica, ayudante de administración y previsión de demanda con optimización de inventario— mediante un backend proxy seguro que protege las credenciales, consolida el contexto desde PostgreSQL y degrada de forma elegante ante fallos del proveedor.</w:t>
      </w:r>
      <w:r/>
    </w:p>
    <w:p>
      <w:pPr>
        <w:pBdr/>
        <w:spacing w:after="120" w:before="0"/>
        <w:ind/>
        <w:rPr/>
      </w:pPr>
      <w:r>
        <w:rPr>
          <w:b w:val="0"/>
          <w:i w:val="0"/>
          <w:color w:val="1c1b1d"/>
          <w:sz w:val="22"/>
        </w:rPr>
        <w:t xml:space="preserve">El sistema cumple siete de los diez criterios de aceptación definidos. Los tres restantes están analizados con su causa técnica y acotados por el tamaño del catálogo, la naturaleza e</w:t>
      </w:r>
      <w:r>
        <w:rPr>
          <w:b w:val="0"/>
          <w:i w:val="0"/>
          <w:color w:val="1c1b1d"/>
          <w:sz w:val="22"/>
        </w:rPr>
        <w:t xml:space="preserve">stocástica de la demanda y el umbral de servicio fijado; en ningún caso por falta de implementación. Se documenta además qué datos son sintéticos y por qué, de modo que ninguna métrica pueda interpretarse como evidencia de rendimiento sobre operación real.</w:t>
      </w:r>
      <w:r/>
    </w:p>
    <w:p>
      <w:pPr>
        <w:pBdr/>
        <w:spacing w:after="120" w:before="0"/>
        <w:ind/>
        <w:rPr/>
      </w:pPr>
      <w:r>
        <w:rPr>
          <w:b w:val="0"/>
          <w:i w:val="0"/>
          <w:color w:val="1c1b1d"/>
          <w:sz w:val="21"/>
        </w:rPr>
        <w:t xml:space="preserve">Queda como trabajo siguiente acotar el stock de seguridad para demanda intermitente —las </w:t>
      </w:r>
      <w:r>
        <w:rPr>
          <w:b w:val="0"/>
          <w:i w:val="0"/>
          <w:color w:val="1c1b1d"/>
          <w:sz w:val="21"/>
        </w:rPr>
        <w:t xml:space="preserve">formulaciones de Croston o SBA son el candidato natural—, sustituir el supuesto de lead time único por los lead times reales por proveedor, ahora ya disponibles en la base de datos, y conectar la interfaz de administración de conocimiento y métricas de IA.</w:t>
      </w:r>
      <w:r/>
      <w:r>
        <w:rPr>
          <w:b w:val="0"/>
          <w:i/>
          <w:color w:val="5c3f45"/>
          <w:sz w:val="18"/>
        </w:rPr>
      </w:r>
      <w:r/>
      <w:r/>
    </w:p>
    <w:sectPr>
      <w:footnotePr/>
      <w:endnotePr/>
      <w:type w:val="nextPage"/>
      <w:pgSz w:h="15840" w:orient="portrait" w:w="12240"/>
      <w:pgMar w:top="1008" w:right="1296" w:bottom="1008"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color w:val="1c1b1d"/>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Calibri" w:hAnsi="Calibri" w:asciiTheme="majorHAnsi" w:hAnsiTheme="majorHAnsi" w:eastAsiaTheme="majorEastAsia" w:cstheme="majorBidi"/>
      <w:b/>
      <w:bCs/>
      <w:color w:val="b60055"/>
      <w:sz w:val="32"/>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Calibri" w:hAnsi="Calibri" w:asciiTheme="majorHAnsi" w:hAnsiTheme="majorHAnsi" w:eastAsiaTheme="majorEastAsia" w:cstheme="majorBidi"/>
      <w:b/>
      <w:bCs/>
      <w:color w:val="b60055"/>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Calibri" w:hAnsi="Calibri" w:asciiTheme="majorHAnsi" w:hAnsiTheme="majorHAnsi" w:eastAsiaTheme="majorEastAsia" w:cstheme="majorBidi"/>
      <w:b/>
      <w:bCs/>
      <w:color w:val="4b41e1"/>
      <w:sz w:val="23"/>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2026-10-07T21:59:51Z</dcterms:modified>
  <cp:category/>
</cp:coreProperties>
</file>