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44"/>
          <w:szCs w:val="44"/>
          <w:highlight w:val="white"/>
          <w:vertAlign w:val="baselin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P</w:t>
      </w:r>
      <w:r w:rsidDel="00000000" w:rsidR="00000000" w:rsidRPr="00000000">
        <w:rPr>
          <w:b w:val="1"/>
          <w:sz w:val="44"/>
          <w:szCs w:val="44"/>
          <w:rtl w:val="0"/>
        </w:rPr>
        <w:t xml:space="preserve">lano de teste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18/11/2017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ESCOPO DO TESTE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REQUISITOS A TESTAR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ESTRATÉGIA DE TESTE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Objetivo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Técnica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Critério de aceitação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contextualSpacing w:val="0"/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34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Este documento tem como objetivo apresentar o Plano de Teste do projeto InstaFEI.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Escopo do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Será realizado o teste de aceitação do projeto InstaFEI.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/>
        <w:rPr>
          <w:b w:val="1"/>
          <w:sz w:val="32"/>
          <w:szCs w:val="32"/>
        </w:rPr>
      </w:pPr>
      <w:bookmarkStart w:colFirst="0" w:colLast="0" w:name="_sj9894l4evga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Requisitos a Testar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Seá avaliado neste teste o requisito funcional: RF5 - É requisito funcional do sistema a manutenção da foto publicada, ou seja, a possibilidade de edição de características e deleção da publicação pelo usuário responsável.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Estratégia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4d34og8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Objetivo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Verificar a facilidade do usuário ao realizar a manutenção de uma foto já publicada dentro de um tempo estimado de 5 minutos.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s8eyo1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Técnica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Será apresentada ao grupo de testes a tela onde as publicações são exibidas assim como a tarefa que deve ser executada pelo grupo.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l11owi4zh19e" w:id="5"/>
      <w:bookmarkEnd w:id="5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Critério de aceitação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critério de aceitação o grupo de teste deve realizar a tarefa dentro do tempo previamente estipulado.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  <w:t xml:space="preserve">INSTA</w:t>
    </w:r>
    <w:r w:rsidDel="00000000" w:rsidR="00000000" w:rsidRPr="00000000">
      <w:rPr>
        <w:vertAlign w:val="baseline"/>
        <w:rtl w:val="0"/>
      </w:rPr>
      <w:t xml:space="preserve">_PlanoProjeto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