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>Architecture: Import Data using Transform Maps (Spreadsheet) on ServiceNow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>
        <w:drawing>
          <wp:inline>
            <wp:extent cx="5760720" cy="2773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53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Administrator uses the ServiceNow web UI to create the table, upload the spreadsheet and view reports/dashboards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Web UI, Microsoft Excel (.xlsx)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Data Source and Load Data: spreadsheet is loaded into the import set table u_student_import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Import Sets, Data Source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Transform Map "Student Information" maps source fields to target fields and inserts the records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Transform Map, Field Maps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Report and Dashboard: pie chart report by Email, single-score and line-chart widgets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Reports and Dashboards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Tables u_student_import and u_student_information; fields Student ID (Integer), Student Name, Department, Email (String), Year (Integer)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relational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6.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Database hosted with the cloud-based ServiceNow instance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Cloud Instance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7.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Spreadsheet stored as an attachment on the Data Source record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Attachments (sys_attachment)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8.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Not used in this project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9.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Not used in this project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10.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Not applicable to this project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N/A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11.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Application deployment on cloud. Local system: web browser only. Cloud server configuration: ServiceNow-hosted instance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Cloud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Built on the ServiceNow low-code platform; no open-source framework needed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Role-based access control and Application Access settings on the custom table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ACLs, Roles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Multi-tier cloud platform; the same Transform Map can be reused for larger files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multi-tier architecture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4.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Managed cloud hosting provided by ServiceNow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ServiceNow Cloud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sz w:val="18"/>
              </w:rPr>
              <w:t>5.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Import Set processing inserts 5 records in about 1 second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sz w:val="18"/>
              </w:rPr>
              <w:t>Import Sets, Transform Map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