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要求阐述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实现对一个余弦信号的均匀量化和μ律非均匀量化，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并将结果输出在图形界面上。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二、实现过程及代码说明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先产生时间戳，再在各个取样点计算cos从而得到余弦信号y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21665"/>
            <wp:effectExtent l="0" t="0" r="10160" b="1333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均匀量化——u_pcm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均匀量化器即指在整个量化范围内，量化间隔都相等的量化器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信号取值范围：对于输入信号序列a，通过 max(a) 和 min</w:t>
      </w:r>
      <w:r>
        <w:rPr>
          <w:rFonts w:hint="default"/>
          <w:lang w:val="en-US" w:eastAsia="zh-CN"/>
        </w:rPr>
        <w:t xml:space="preserve">(a) </w:t>
      </w:r>
      <w:r>
        <w:rPr>
          <w:rFonts w:hint="eastAsia"/>
          <w:lang w:val="en-US" w:eastAsia="zh-CN"/>
        </w:rPr>
        <w:t xml:space="preserve">得到信号的最值，从而得到a的取值范围 </w:t>
      </w:r>
      <w:r>
        <w:rPr>
          <w:rFonts w:hint="default"/>
          <w:lang w:val="en-US" w:eastAsia="zh-CN"/>
        </w:rPr>
        <w:t>step_size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= </w:t>
      </w:r>
      <w:r>
        <w:rPr>
          <w:rFonts w:hint="eastAsia"/>
          <w:lang w:val="en-US" w:eastAsia="zh-CN"/>
        </w:rPr>
        <w:t>max(a)</w:t>
      </w:r>
      <w:r>
        <w:rPr>
          <w:rFonts w:hint="default"/>
          <w:lang w:val="en-US" w:eastAsia="zh-CN"/>
        </w:rPr>
        <w:t xml:space="preserve"> - </w:t>
      </w:r>
      <w:r>
        <w:rPr>
          <w:rFonts w:hint="eastAsia"/>
          <w:lang w:val="en-US" w:eastAsia="zh-CN"/>
        </w:rPr>
        <w:t>min</w:t>
      </w:r>
      <w:r>
        <w:rPr>
          <w:rFonts w:hint="default"/>
          <w:lang w:val="en-US" w:eastAsia="zh-CN"/>
        </w:rPr>
        <w:t>(a)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34030" cy="282575"/>
            <wp:effectExtent l="0" t="0" r="1397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均匀量化各个量化间隔相等，对于共 n 个量化区间的量化器，量化间隔为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ange/n</w:t>
      </w:r>
      <w:r>
        <w:rPr>
          <w:rFonts w:hint="eastAsia"/>
          <w:lang w:val="en-US" w:eastAsia="zh-CN"/>
        </w:rPr>
        <w:t>；而量化值为各量化区间中点值，以数组m</w:t>
      </w:r>
      <w:r>
        <w:rPr>
          <w:rFonts w:hint="default"/>
          <w:lang w:val="en-US" w:eastAsia="zh-CN"/>
        </w:rPr>
        <w:t>idpoints</w:t>
      </w:r>
      <w:r>
        <w:rPr>
          <w:rFonts w:hint="eastAsia"/>
          <w:lang w:val="en-US" w:eastAsia="zh-CN"/>
        </w:rPr>
        <w:t>表示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67200" cy="285750"/>
            <wp:effectExtent l="0" t="0" r="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初始化返回值a_quan 为值全是0的数组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181225" cy="266700"/>
            <wp:effectExtent l="0" t="0" r="31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for循环遍历信号数组，对单个信号，找到其所在的量化区间，并将该区间的中点值作为量化后的值，等价于寻找距离该信号值最近的量化区间中点值（即储存在midpoints中），将其作为本信号的量化值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629025" cy="95250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非均匀量化——ula_pcm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非均匀量化器先进行压缩，再均匀量化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3676015" cy="624840"/>
            <wp:effectExtent l="0" t="0" r="6985" b="1016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压缩</w:t>
      </w:r>
      <w:r>
        <w:rPr>
          <w:rFonts w:hint="default"/>
          <w:lang w:val="en-US" w:eastAsia="zh-CN"/>
        </w:rPr>
        <w:t>ulaw</w:t>
      </w:r>
      <w:r>
        <w:rPr>
          <w:rFonts w:hint="eastAsia"/>
          <w:lang w:val="en-US" w:eastAsia="zh-CN"/>
        </w:rPr>
        <w:t>——ulaw</w:t>
      </w:r>
      <w:r>
        <w:rPr>
          <w:rFonts w:hint="default"/>
          <w:lang w:val="en-US" w:eastAsia="zh-CN"/>
        </w:rPr>
        <w:t>.m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在ulaw</w:t>
      </w:r>
      <w:r>
        <w:rPr>
          <w:rFonts w:hint="default"/>
          <w:lang w:val="en-US" w:eastAsia="zh-CN"/>
        </w:rPr>
        <w:t>.m</w:t>
      </w:r>
      <w:r>
        <w:rPr>
          <w:rFonts w:hint="eastAsia"/>
          <w:lang w:val="en-US" w:eastAsia="zh-CN"/>
        </w:rPr>
        <w:t>中按照u律压缩公式完成压缩过程，在</w:t>
      </w:r>
      <w:r>
        <w:rPr>
          <w:rFonts w:hint="default"/>
          <w:lang w:val="en-US" w:eastAsia="zh-CN"/>
        </w:rPr>
        <w:t>ula_pc</w:t>
      </w:r>
      <w:r>
        <w:rPr>
          <w:rFonts w:hint="eastAsia"/>
          <w:lang w:val="en-US" w:eastAsia="zh-CN"/>
        </w:rPr>
        <w:t>m中调用</w:t>
      </w:r>
    </w:p>
    <w:p>
      <w:pPr>
        <w:numPr>
          <w:ilvl w:val="0"/>
          <w:numId w:val="0"/>
        </w:numPr>
        <w:ind w:left="420" w:leftChars="0"/>
        <w:jc w:val="both"/>
      </w:pPr>
      <w:r>
        <w:object>
          <v:shape id="_x0000_i1025" o:spt="75" type="#_x0000_t75" style="height:33.75pt;width:181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667125" cy="352425"/>
            <wp:effectExtent l="0" t="0" r="1587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均匀量化——ul</w:t>
      </w:r>
      <w:r>
        <w:rPr>
          <w:rFonts w:hint="default"/>
          <w:lang w:val="en-US" w:eastAsia="zh-CN"/>
        </w:rPr>
        <w:t>a_pcm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和均匀量化器过程一样，因此可以直接调用已经实现的均匀量化函数u</w:t>
      </w:r>
      <w:r>
        <w:rPr>
          <w:rFonts w:hint="default"/>
          <w:lang w:val="en-US" w:eastAsia="zh-CN"/>
        </w:rPr>
        <w:t>_pcm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扩张——inv</w:t>
      </w:r>
      <w:r>
        <w:rPr>
          <w:rFonts w:hint="default"/>
          <w:lang w:val="en-US" w:eastAsia="zh-CN"/>
        </w:rPr>
        <w:t>_ulaw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将信号还原，公式推导过程如下：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y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 xml:space="preserve"> = </m:t>
          </m:r>
          <m:f>
            <m:fPr>
              <m:ctrl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ln(1+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d>
                <m:dPr>
                  <m:begChr m:val="|"/>
                  <m:endChr m:val="|"/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x</m:t>
                  </m: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ln(1+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420" w:leftChars="0"/>
        <w:jc w:val="both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y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ln(1+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μ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) = ln(1+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μ</m:t>
          </m:r>
          <m:d>
            <m:dPr>
              <m:begChr m:val="|"/>
              <m:endChr m:val="|"/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e>
          </m:d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numPr>
          <w:ilvl w:val="0"/>
          <w:numId w:val="0"/>
        </w:numPr>
        <w:ind w:left="420" w:leftChars="0"/>
        <w:jc w:val="both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ln</m:t>
          </m:r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(1+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 xml:space="preserve"> = ln(1+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μ</m:t>
          </m:r>
          <m:d>
            <m:dPr>
              <m:begChr m:val="|"/>
              <m:endChr m:val="|"/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e>
          </m:d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numPr>
          <w:ilvl w:val="0"/>
          <w:numId w:val="0"/>
        </w:numPr>
        <w:ind w:left="420" w:leftChars="0"/>
        <w:jc w:val="both"/>
        <w:rPr>
          <w:rFonts w:hAnsi="DejaVu Math TeX Gyre" w:cstheme="minorBidi"/>
          <w:i w:val="0"/>
          <w:kern w:val="2"/>
          <w:sz w:val="21"/>
          <w:szCs w:val="24"/>
          <w:lang w:val="en-US" w:bidi="ar-SA"/>
        </w:rPr>
      </w:pPr>
      <m:oMathPara>
        <m:oMath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(1+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 xml:space="preserve"> = 1+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μ</m:t>
          </m:r>
          <m:d>
            <m:dPr>
              <m:begChr m:val="|"/>
              <m:endChr m:val="|"/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="420" w:leftChars="0"/>
        <w:jc w:val="both"/>
        <w:rPr>
          <w:rFonts w:hAnsi="DejaVu Math TeX Gyre" w:cstheme="minorBidi"/>
          <w:i w:val="0"/>
          <w:kern w:val="2"/>
          <w:sz w:val="21"/>
          <w:szCs w:val="24"/>
          <w:lang w:val="en-US" w:bidi="ar-SA"/>
        </w:rPr>
      </w:pPr>
      <m:oMathPara>
        <m:oMath>
          <m:f>
            <m:f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(1+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μ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)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 xml:space="preserve"> = </m:t>
          </m:r>
          <m:d>
            <m:dPr>
              <m:begChr m:val="|"/>
              <m:endChr m:val="|"/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="420" w:leftChars="0"/>
        <w:jc w:val="both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 xml:space="preserve">x = sign(x) ∗ </m:t>
          </m:r>
          <m:f>
            <m:f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(1+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μ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)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μ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numPr>
          <w:ilvl w:val="0"/>
          <w:numId w:val="0"/>
        </w:numPr>
        <w:ind w:firstLine="420" w:firstLineChars="0"/>
        <w:jc w:val="both"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>在Matlab中表示为：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19650" cy="352425"/>
            <wp:effectExtent l="0" t="0" r="6350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最终在函数ula</w:t>
      </w:r>
      <w:r>
        <w:rPr>
          <w:rFonts w:hint="default"/>
          <w:lang w:val="en-US" w:eastAsia="zh-CN"/>
        </w:rPr>
        <w:t>_pcm</w:t>
      </w:r>
      <w:r>
        <w:rPr>
          <w:rFonts w:hint="eastAsia"/>
          <w:lang w:val="en-US" w:eastAsia="zh-CN"/>
        </w:rPr>
        <w:t>中呈现为以下的代码序列：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10175" cy="1485900"/>
            <wp:effectExtent l="0" t="0" r="2222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三、结果展示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绿色曲线为非均匀量化，红色为均匀量化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76270" cy="2382520"/>
            <wp:effectExtent l="0" t="0" r="24130" b="5080"/>
            <wp:docPr id="8" name="图片 8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sul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四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、非均匀量化的优点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（1）改善小信号的信噪比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非均匀量化</w:t>
      </w:r>
      <w:r>
        <w:rPr>
          <w:rFonts w:hint="default"/>
          <w:lang w:val="en-US" w:eastAsia="zh-CN"/>
        </w:rPr>
        <w:t>根据信号的不同区间来确定量化间隔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在概率密度f(x)大的地方，</w:t>
      </w:r>
      <w:r>
        <w:rPr>
          <w:rFonts w:hint="eastAsia"/>
          <w:lang w:val="en-US" w:eastAsia="zh-CN"/>
        </w:rPr>
        <w:t>设置较小的量化间隔，降低量化噪声，</w:t>
      </w:r>
      <w:r>
        <w:rPr>
          <w:rFonts w:hint="default"/>
          <w:lang w:val="en-US" w:eastAsia="zh-CN"/>
        </w:rPr>
        <w:t>从而降低均方误差，可提高信噪比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在靠近量化值为0的区域，概率密度大，从图中可以看出，代表非均匀量化的绿色曲线下降的幅度减小，即量化间隔小，具体可见下图：</w:t>
      </w:r>
    </w:p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118745</wp:posOffset>
                </wp:positionV>
                <wp:extent cx="1955800" cy="287020"/>
                <wp:effectExtent l="6350" t="6350" r="19050" b="114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概率密度小时，量化间隔大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5pt;margin-top:9.35pt;height:22.6pt;width:154pt;z-index:251662336;mso-width-relative:page;mso-height-relative:page;" fillcolor="#FFFFFF [3201]" filled="t" stroked="t" coordsize="21600,21600" o:gfxdata="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ID686bWAAAACQEAAA8AAAAAAAAAAQAgAAAAOAAAAGRycy9kb3ducmV2&#10;LnhtbFBLAQIUABQAAAAIAIdO4kByM6NVWgIAALkEAAAOAAAAAAAAAAEAIAAAADsBAABkcnMvZTJv&#10;RG9jLnhtbF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概率密度小时，量化间隔大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1360805</wp:posOffset>
                </wp:positionV>
                <wp:extent cx="1955800" cy="287020"/>
                <wp:effectExtent l="6350" t="6350" r="1905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7695" y="7419975"/>
                          <a:ext cx="195580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概率密度大时，量化间隔小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pt;margin-top:107.15pt;height:22.6pt;width:154pt;z-index:251661312;mso-width-relative:page;mso-height-relative:page;" fillcolor="#FFFFFF [3201]" filled="t" stroked="t" coordsize="21600,21600" o:gfxdata="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hURcI2AAAAAsBAAAPAAAAAAAAAAEAIAAA&#10;ADgAAABkcnMvZG93bnJldi54bWxQSwECFAAUAAAACACHTuJA4Rv8xmgCAADFBAAADgAAAAAAAAAB&#10;ACAAAAA9AQAAZHJzL2Uyb0RvYy54bWxQSwUGAAAAAAYABgBZAQAAF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概率密度大时，量化间隔小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155575</wp:posOffset>
                </wp:positionV>
                <wp:extent cx="0" cy="215900"/>
                <wp:effectExtent l="6350" t="0" r="19050" b="127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51300" y="7013575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2pt;margin-top:12.25pt;height:17pt;width:0pt;z-index:251660288;mso-width-relative:page;mso-height-relative:page;" filled="f" stroked="t" coordsize="21600,21600" o:gfxdata="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adK5TUAAAACQEAAA8AAAAAAAAAAQAgAAAAOAAA&#10;AGRycy9kb3ducmV2LnhtbFBLAQIUABQAAAAIAIdO4kAuaHvY9gEAAL8DAAAOAAAAAAAAAAEAIAAA&#10;ADkBAABkcnMvZTJvRG9jLnhtbFBLBQYAAAAABgAGAFkBAACh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1489710</wp:posOffset>
                </wp:positionV>
                <wp:extent cx="0" cy="40640"/>
                <wp:effectExtent l="6350" t="0" r="19050" b="101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8115" y="8347710"/>
                          <a:ext cx="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45pt;margin-top:117.3pt;height:3.2pt;width:0pt;z-index:251659264;mso-width-relative:page;mso-height-relative:page;" filled="f" stroked="t" coordsize="21600,21600" o:gfxdata="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OVQQ3DWAAAACwEAAA8AAAAAAAAAAQAgAAAAOAAA&#10;AGRycy9kb3ducmV2LnhtbFBLAQIUABQAAAAIAIdO4kDDLibQ9AEAAL4DAAAOAAAAAAAAAAEAIAAA&#10;ADsBAABkcnMvZTJvRG9jLnhtbFBLBQYAAAAABgAGAFkBAACh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1419225" cy="2824480"/>
            <wp:effectExtent l="0" t="0" r="3175" b="203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因此，对小信号而言，非均匀量化可以从而降低量化噪声，提高信噪比。</w:t>
      </w:r>
    </w:p>
    <w:p>
      <w:pPr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当输入非均匀量化器的信号具有非均匀分布的概率密度的时候，</w:t>
      </w:r>
      <w:r>
        <w:rPr>
          <w:rFonts w:hint="eastAsia"/>
          <w:lang w:val="en-US" w:eastAsia="zh-CN"/>
        </w:rPr>
        <w:t>由于</w:t>
      </w:r>
      <w:r>
        <w:rPr>
          <w:rFonts w:hint="default"/>
          <w:lang w:val="en-US" w:eastAsia="zh-CN"/>
        </w:rPr>
        <w:t>量化噪声功率的均方根值基本上与信号抽样值成比例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非均匀量化器的输出端可以较高的平均信号量化噪声功率比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AFCA6C"/>
    <w:multiLevelType w:val="singleLevel"/>
    <w:tmpl w:val="FAAFCA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F6AC7C"/>
    <w:multiLevelType w:val="singleLevel"/>
    <w:tmpl w:val="FEF6AC7C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FEDC909"/>
    <w:multiLevelType w:val="singleLevel"/>
    <w:tmpl w:val="FFEDC90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2FDE7A"/>
    <w:multiLevelType w:val="singleLevel"/>
    <w:tmpl w:val="5F2FDE7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7EF10E1"/>
    <w:multiLevelType w:val="singleLevel"/>
    <w:tmpl w:val="77EF10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B08B6"/>
    <w:rsid w:val="2DFF7E17"/>
    <w:rsid w:val="472B08B6"/>
    <w:rsid w:val="5F71D4EA"/>
    <w:rsid w:val="5F97EB1B"/>
    <w:rsid w:val="64133264"/>
    <w:rsid w:val="7F1F4814"/>
    <w:rsid w:val="BBDE8004"/>
    <w:rsid w:val="BD7B9E15"/>
    <w:rsid w:val="BFFF0F41"/>
    <w:rsid w:val="CDBF967C"/>
    <w:rsid w:val="EEBD2F7D"/>
    <w:rsid w:val="EFFF627C"/>
    <w:rsid w:val="F9F3A348"/>
    <w:rsid w:val="FBF7DC57"/>
    <w:rsid w:val="FCCEB860"/>
    <w:rsid w:val="FE7D6F19"/>
    <w:rsid w:val="FED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2023-10-07T17:55:00Z</dcterms:created>
  <dc:creator>王鹤霖</dc:creator>
  <cp:lastModifiedBy>王鹤霖</cp:lastModifiedBy>
  <dcterms:modified xsi:type="dcterms:W3CDTF">2023-10-11T22:28:38Z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2CF8392A54B593C28DD91F65492E3818_41</vt:lpwstr>
  </property>
</Properties>
</file>