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 w:eastAsia="微软雅黑"/>
          <w:b/>
          <w:sz w:val="40"/>
        </w:rPr>
        <w:t>样件状态说明</w:t>
      </w:r>
    </w:p>
    <w:p>
      <w:pPr>
        <w:jc w:val="center"/>
      </w:pPr>
      <w:r>
        <w:rPr>
          <w:rFonts w:ascii="Calibri" w:hAnsi="Calibri" w:eastAsia="微软雅黑"/>
          <w:b/>
          <w:color w:val="505050"/>
          <w:sz w:val="26"/>
        </w:rPr>
        <w:t>Sample Status Description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835"/>
          </w:tcPr>
          <w:p>
            <w:r>
              <w:rPr>
                <w:rFonts w:ascii="Calibri" w:hAnsi="Calibri" w:eastAsia="微软雅黑"/>
                <w:b w:val="0"/>
                <w:sz w:val="19"/>
              </w:rPr>
              <w:t>文件编号 / Doc. No.</w:t>
            </w:r>
          </w:p>
        </w:tc>
        <w:tc>
          <w:tcPr>
            <w:tcW w:type="dxa" w:w="6520"/>
          </w:tcPr>
          <w:p>
            <w:r>
              <w:rPr>
                <w:rFonts w:ascii="Calibri" w:hAnsi="Calibri" w:eastAsia="微软雅黑"/>
                <w:b w:val="0"/>
                <w:sz w:val="19"/>
              </w:rPr>
              <w:t>FAN_F-CS-200</w:t>
            </w:r>
          </w:p>
        </w:tc>
      </w:tr>
      <w:tr>
        <w:tc>
          <w:tcPr>
            <w:tcW w:type="dxa" w:w="2835"/>
          </w:tcPr>
          <w:p>
            <w:r>
              <w:rPr>
                <w:rFonts w:ascii="Calibri" w:hAnsi="Calibri" w:eastAsia="微软雅黑"/>
                <w:b w:val="0"/>
                <w:sz w:val="19"/>
              </w:rPr>
              <w:t>版本 / Version</w:t>
            </w:r>
          </w:p>
        </w:tc>
        <w:tc>
          <w:tcPr>
            <w:tcW w:type="dxa" w:w="6520"/>
          </w:tcPr>
          <w:p>
            <w:r>
              <w:rPr>
                <w:rFonts w:ascii="Calibri" w:hAnsi="Calibri" w:eastAsia="微软雅黑"/>
                <w:b w:val="0"/>
                <w:sz w:val="19"/>
              </w:rPr>
              <w:t>V1.0（模板草稿 / Template Draft）</w:t>
            </w:r>
          </w:p>
        </w:tc>
      </w:tr>
      <w:tr>
        <w:tc>
          <w:tcPr>
            <w:tcW w:type="dxa" w:w="2835"/>
          </w:tcPr>
          <w:p>
            <w:r>
              <w:rPr>
                <w:rFonts w:ascii="Calibri" w:hAnsi="Calibri" w:eastAsia="微软雅黑"/>
                <w:b w:val="0"/>
                <w:sz w:val="19"/>
              </w:rPr>
              <w:t>适用产品 / Product</w:t>
            </w:r>
          </w:p>
        </w:tc>
        <w:tc>
          <w:tcPr>
            <w:tcW w:type="dxa" w:w="6520"/>
          </w:tcPr>
          <w:p>
            <w:r>
              <w:rPr>
                <w:rFonts w:ascii="Calibri" w:hAnsi="Calibri" w:eastAsia="微软雅黑"/>
                <w:b w:val="0"/>
                <w:sz w:val="19"/>
              </w:rPr>
              <w:t>FAN_F 高压风扇控制器 / High-voltage Fan Controller</w:t>
            </w:r>
          </w:p>
        </w:tc>
      </w:tr>
      <w:tr>
        <w:tc>
          <w:tcPr>
            <w:tcW w:type="dxa" w:w="2835"/>
          </w:tcPr>
          <w:p>
            <w:r>
              <w:rPr>
                <w:rFonts w:ascii="Calibri" w:hAnsi="Calibri" w:eastAsia="微软雅黑"/>
                <w:b w:val="0"/>
                <w:sz w:val="19"/>
              </w:rPr>
              <w:t>关联协议 / Related CIA</w:t>
            </w:r>
          </w:p>
        </w:tc>
        <w:tc>
          <w:tcPr>
            <w:tcW w:type="dxa" w:w="6520"/>
          </w:tcPr>
          <w:p>
            <w:r>
              <w:rPr>
                <w:rFonts w:ascii="Calibri" w:hAnsi="Calibri" w:eastAsia="微软雅黑"/>
                <w:b w:val="0"/>
                <w:sz w:val="19"/>
              </w:rPr>
              <w:t>CIA CS100120-045C 条款 3-2-3 样件提交 / Provide sample</w:t>
            </w:r>
          </w:p>
        </w:tc>
      </w:tr>
      <w:tr>
        <w:tc>
          <w:tcPr>
            <w:tcW w:type="dxa" w:w="2835"/>
          </w:tcPr>
          <w:p>
            <w:r>
              <w:rPr>
                <w:rFonts w:ascii="Calibri" w:hAnsi="Calibri" w:eastAsia="微软雅黑"/>
                <w:b w:val="0"/>
                <w:sz w:val="19"/>
              </w:rPr>
              <w:t>样件用途 / Sample purpose</w:t>
            </w:r>
          </w:p>
        </w:tc>
        <w:tc>
          <w:tcPr>
            <w:tcW w:type="dxa" w:w="6520"/>
          </w:tcPr>
          <w:p>
            <w:r>
              <w:rPr>
                <w:rFonts w:ascii="Calibri" w:hAnsi="Calibri" w:eastAsia="微软雅黑"/>
                <w:b w:val="0"/>
                <w:sz w:val="19"/>
              </w:rPr>
              <w:t>福田安全评估用，连续生产状态 / Foton security assessment, continuous-production state</w:t>
            </w:r>
          </w:p>
        </w:tc>
      </w:tr>
      <w:tr>
        <w:tc>
          <w:tcPr>
            <w:tcW w:type="dxa" w:w="2835"/>
          </w:tcPr>
          <w:p>
            <w:r>
              <w:rPr>
                <w:rFonts w:ascii="Calibri" w:hAnsi="Calibri" w:eastAsia="微软雅黑"/>
                <w:b w:val="0"/>
                <w:sz w:val="19"/>
              </w:rPr>
              <w:t>编制 / Prepared by</w:t>
            </w:r>
          </w:p>
        </w:tc>
        <w:tc>
          <w:tcPr>
            <w:tcW w:type="dxa" w:w="6520"/>
          </w:tcPr>
          <w:p>
            <w:r>
              <w:rPr>
                <w:rFonts w:ascii="Calibri" w:hAnsi="Calibri" w:eastAsia="微软雅黑"/>
                <w:b w:val="0"/>
                <w:sz w:val="19"/>
              </w:rPr>
              <w:t>【姓名 / 部门】    日期 Date: 【YYYY-MM-DD】</w:t>
            </w:r>
          </w:p>
        </w:tc>
      </w:tr>
      <w:tr>
        <w:tc>
          <w:tcPr>
            <w:tcW w:type="dxa" w:w="2835"/>
          </w:tcPr>
          <w:p>
            <w:r>
              <w:rPr>
                <w:rFonts w:ascii="Calibri" w:hAnsi="Calibri" w:eastAsia="微软雅黑"/>
                <w:b w:val="0"/>
                <w:sz w:val="19"/>
              </w:rPr>
              <w:t>审核 / Reviewed by</w:t>
            </w:r>
          </w:p>
        </w:tc>
        <w:tc>
          <w:tcPr>
            <w:tcW w:type="dxa" w:w="6520"/>
          </w:tcPr>
          <w:p>
            <w:r>
              <w:rPr>
                <w:rFonts w:ascii="Calibri" w:hAnsi="Calibri" w:eastAsia="微软雅黑"/>
                <w:b w:val="0"/>
                <w:sz w:val="19"/>
              </w:rPr>
              <w:t>【项目网络安全工程师】    日期 Date: 【YYYY-MM-DD】</w:t>
            </w:r>
          </w:p>
        </w:tc>
      </w:tr>
      <w:tr>
        <w:tc>
          <w:tcPr>
            <w:tcW w:type="dxa" w:w="2835"/>
          </w:tcPr>
          <w:p>
            <w:r>
              <w:rPr>
                <w:rFonts w:ascii="Calibri" w:hAnsi="Calibri" w:eastAsia="微软雅黑"/>
                <w:b w:val="0"/>
                <w:sz w:val="19"/>
              </w:rPr>
              <w:t>批准 / Approved by</w:t>
            </w:r>
          </w:p>
        </w:tc>
        <w:tc>
          <w:tcPr>
            <w:tcW w:type="dxa" w:w="6520"/>
          </w:tcPr>
          <w:p>
            <w:r>
              <w:rPr>
                <w:rFonts w:ascii="Calibri" w:hAnsi="Calibri" w:eastAsia="微软雅黑"/>
                <w:b w:val="0"/>
                <w:sz w:val="19"/>
              </w:rPr>
              <w:t>【研发经理】    日期 Date: 【YYYY-MM-DD】</w:t>
            </w:r>
          </w:p>
        </w:tc>
      </w:tr>
    </w:tbl>
    <w:p/>
    <w:p>
      <w:r>
        <w:rPr>
          <w:rFonts w:ascii="Calibri" w:hAnsi="Calibri" w:eastAsia="微软雅黑"/>
          <w:b w:val="0"/>
          <w:color w:val="5A5A5A"/>
          <w:sz w:val="18"/>
        </w:rPr>
        <w:t>说明：【】内为待填写内容。本文件随 3-2-3 样件一并提交。英文为对照译文，正式交付前须经人工校对（CIA 8-3）。</w:t>
        <w:br/>
        <w:t>Note: Text in 【】 is to be completed. This document is delivered together with the 3-2-3 sample. English is a reference translation and must be human-proofread before formal delivery (CIA 8-3).</w:t>
      </w:r>
    </w:p>
    <w:p>
      <w:r>
        <w:br w:type="page"/>
      </w:r>
    </w:p>
    <w:p>
      <w:pPr>
        <w:pStyle w:val="Heading1"/>
      </w:pPr>
      <w:r>
        <w:rPr>
          <w:rFonts w:ascii="Calibri" w:hAnsi="Calibri" w:eastAsia="微软雅黑"/>
          <w:b/>
          <w:sz w:val="30"/>
        </w:rPr>
        <w:t>1 目的</w:t>
      </w:r>
      <w:r>
        <w:rPr>
          <w:rFonts w:ascii="Calibri" w:hAnsi="Calibri" w:eastAsia="微软雅黑"/>
          <w:b w:val="0"/>
          <w:color w:val="646464"/>
          <w:sz w:val="22"/>
        </w:rPr>
        <w:t xml:space="preserve">  Purpose</w:t>
      </w:r>
    </w:p>
    <w:p>
      <w:r>
        <w:rPr>
          <w:rFonts w:ascii="Calibri" w:hAnsi="Calibri" w:eastAsia="微软雅黑"/>
          <w:b w:val="0"/>
          <w:sz w:val="21"/>
        </w:rPr>
        <w:t>依据《CIA 供应商信息安全接口协议 A6 车型 FAN_F 高压风扇控制器系统》（记录编号 CS100120-045C）条款 3-2-3，【供应商公司名称 / Supplier Company Name】 向福田提交可进行安全评估、且处于连续生产状态的 FAN_F 控制器样件。本文件说明该批样件的标识、软件/硬件版本、安全机制激活状态、TARA 中高风险资产保护情况，以及与 4-1 渗透测试配合样件的区分。</w:t>
      </w:r>
    </w:p>
    <w:p>
      <w:r>
        <w:rPr>
          <w:rFonts w:ascii="Calibri" w:hAnsi="Calibri" w:eastAsia="微软雅黑"/>
          <w:b w:val="0"/>
          <w:color w:val="5A5A5A"/>
          <w:sz w:val="19"/>
        </w:rPr>
        <w:t>Per CIA clause 3-2-3, the supplier delivers FAN_F controller samples in continuous-production state for Foton security assessment. This document records identification, HW/SW versions, activated security mechanisms, protection of TARA medium/high-risk assets, and the distinction from 4-1 penetration-test support samples.</w:t>
      </w:r>
    </w:p>
    <w:p>
      <w:pPr>
        <w:pStyle w:val="Heading1"/>
      </w:pPr>
      <w:r>
        <w:rPr>
          <w:rFonts w:ascii="Calibri" w:hAnsi="Calibri" w:eastAsia="微软雅黑"/>
          <w:b/>
          <w:sz w:val="30"/>
        </w:rPr>
        <w:t>2 连续生产状态定义（本项目）</w:t>
      </w:r>
      <w:r>
        <w:rPr>
          <w:rFonts w:ascii="Calibri" w:hAnsi="Calibri" w:eastAsia="微软雅黑"/>
          <w:b w:val="0"/>
          <w:color w:val="646464"/>
          <w:sz w:val="22"/>
        </w:rPr>
        <w:t xml:space="preserve">  Continuous-production State (this project)</w:t>
      </w:r>
    </w:p>
    <w:p>
      <w:r>
        <w:rPr>
          <w:rFonts w:ascii="Calibri" w:hAnsi="Calibri" w:eastAsia="微软雅黑"/>
          <w:b w:val="0"/>
          <w:sz w:val="21"/>
        </w:rPr>
        <w:t>连续生产状态指：所有安全机制均已激活，开发访问已停用，且 TARA 分析中、高风险相关资产已得到保护。本项目最低要求如下。</w:t>
      </w:r>
    </w:p>
    <w:p>
      <w:r>
        <w:rPr>
          <w:rFonts w:ascii="Calibri" w:hAnsi="Calibri" w:eastAsia="微软雅黑"/>
          <w:b w:val="0"/>
          <w:color w:val="5A5A5A"/>
          <w:sz w:val="19"/>
        </w:rPr>
        <w:t>Continuous-production state means all security mechanisms are activated, development access is disabled, and assets assessed as medium or high risk in TARA are protected. Minimum requirements for this project: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2268"/>
            <w:shd w:val="clear" w:color="auto" w:fill="D9E2F3"/>
          </w:tcPr>
          <w:p>
            <w:r/>
            <w:r>
              <w:rPr>
                <w:rFonts w:ascii="Calibri" w:hAnsi="Calibri" w:eastAsia="微软雅黑"/>
                <w:b/>
                <w:sz w:val="18"/>
              </w:rPr>
              <w:t>条款要求 CIA requirement</w:t>
            </w:r>
          </w:p>
        </w:tc>
        <w:tc>
          <w:tcPr>
            <w:tcW w:type="dxa" w:w="3685"/>
            <w:shd w:val="clear" w:color="auto" w:fill="D9E2F3"/>
          </w:tcPr>
          <w:p>
            <w:r/>
            <w:r>
              <w:rPr>
                <w:rFonts w:ascii="Calibri" w:hAnsi="Calibri" w:eastAsia="微软雅黑"/>
                <w:b/>
                <w:sz w:val="18"/>
              </w:rPr>
              <w:t>本项目实现 Implementation on FAN_F</w:t>
            </w:r>
          </w:p>
        </w:tc>
        <w:tc>
          <w:tcPr>
            <w:tcW w:type="dxa" w:w="3402"/>
            <w:shd w:val="clear" w:color="auto" w:fill="D9E2F3"/>
          </w:tcPr>
          <w:p>
            <w:r/>
            <w:r>
              <w:rPr>
                <w:rFonts w:ascii="Calibri" w:hAnsi="Calibri" w:eastAsia="微软雅黑"/>
                <w:b/>
                <w:sz w:val="18"/>
              </w:rPr>
              <w:t>本批样件状态 Status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JTAG 锁 / JTAG lock</w:t>
            </w:r>
          </w:p>
        </w:tc>
        <w:tc>
          <w:tcPr>
            <w:tcW w:type="dxa" w:w="3685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S32K144W Flash 安全配置（FSEC）置为 Secure，SWD/JTAG 不可读出应用程序 Flash</w:t>
            </w:r>
          </w:p>
        </w:tc>
        <w:tc>
          <w:tcPr>
            <w:tcW w:type="dxa" w:w="340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□已锁定  □未锁定  □不适用</w:t>
              <w:br/>
              <w:t>证据 Evidence: 【熔丝/配置截图或读保护验证记录】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生产密钥激活 / Production key activation</w:t>
            </w:r>
          </w:p>
        </w:tc>
        <w:tc>
          <w:tcPr>
            <w:tcW w:type="dxa" w:w="3685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UDS 0x27 Seed-Key 使用生产算法与生产密钥；开发用固定 Key / 弱密钥已移除；刷写验签使用生产公钥</w:t>
            </w:r>
          </w:p>
        </w:tc>
        <w:tc>
          <w:tcPr>
            <w:tcW w:type="dxa" w:w="340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□已激活  □部分激活  □未激活</w:t>
              <w:br/>
              <w:t>密钥批次 Key batch: 【】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开发访问权限停用 / Development access disabled</w:t>
            </w:r>
          </w:p>
        </w:tc>
        <w:tc>
          <w:tcPr>
            <w:tcW w:type="dxa" w:w="3685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FreeMASTER/CAN 标定口关闭或须先通过 0x27；测试 DID、后门命令、调试串口明文日志关闭</w:t>
            </w:r>
          </w:p>
        </w:tc>
        <w:tc>
          <w:tcPr>
            <w:tcW w:type="dxa" w:w="340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□已停用  □部分停用  □未停用</w:t>
              <w:br/>
              <w:t>见第 5 章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TARA 中高风险资产受保护 / TARA M/H assets protected</w:t>
            </w:r>
          </w:p>
        </w:tc>
        <w:tc>
          <w:tcPr>
            <w:tcW w:type="dxa" w:w="3685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随 CIA 3-1-2 确认的 TARA 结果，在样件上落实对应措施（见第 6 章）</w:t>
            </w:r>
          </w:p>
        </w:tc>
        <w:tc>
          <w:tcPr>
            <w:tcW w:type="dxa" w:w="340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□已落实  □待 TARA 确认后落实  □部分落实</w:t>
            </w:r>
          </w:p>
        </w:tc>
      </w:tr>
    </w:tbl>
    <w:p/>
    <w:p>
      <w:pPr>
        <w:pStyle w:val="Heading1"/>
      </w:pPr>
      <w:r>
        <w:rPr>
          <w:rFonts w:ascii="Calibri" w:hAnsi="Calibri" w:eastAsia="微软雅黑"/>
          <w:b/>
          <w:sz w:val="30"/>
        </w:rPr>
        <w:t>3 样件清单</w:t>
      </w:r>
      <w:r>
        <w:rPr>
          <w:rFonts w:ascii="Calibri" w:hAnsi="Calibri" w:eastAsia="微软雅黑"/>
          <w:b w:val="0"/>
          <w:color w:val="646464"/>
          <w:sz w:val="22"/>
        </w:rPr>
        <w:t xml:space="preserve">  Sample 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92"/>
        <w:gridCol w:w="1392"/>
        <w:gridCol w:w="1392"/>
        <w:gridCol w:w="1392"/>
        <w:gridCol w:w="1392"/>
        <w:gridCol w:w="1392"/>
        <w:gridCol w:w="1392"/>
      </w:tblGrid>
      <w:tr>
        <w:tc>
          <w:tcPr>
            <w:tcW w:type="dxa" w:w="1361"/>
            <w:shd w:val="clear" w:color="auto" w:fill="D9E2F3"/>
          </w:tcPr>
          <w:p>
            <w:r/>
            <w:r>
              <w:rPr>
                <w:rFonts w:ascii="Calibri" w:hAnsi="Calibri" w:eastAsia="微软雅黑"/>
                <w:b/>
                <w:sz w:val="18"/>
              </w:rPr>
              <w:t>样件编号</w:t>
              <w:br/>
              <w:t>Sample ID</w:t>
            </w:r>
          </w:p>
        </w:tc>
        <w:tc>
          <w:tcPr>
            <w:tcW w:type="dxa" w:w="1247"/>
            <w:shd w:val="clear" w:color="auto" w:fill="D9E2F3"/>
          </w:tcPr>
          <w:p>
            <w:r/>
            <w:r>
              <w:rPr>
                <w:rFonts w:ascii="Calibri" w:hAnsi="Calibri" w:eastAsia="微软雅黑"/>
                <w:b/>
                <w:sz w:val="18"/>
              </w:rPr>
              <w:t>零件号</w:t>
              <w:br/>
              <w:t>Part No.</w:t>
            </w:r>
          </w:p>
        </w:tc>
        <w:tc>
          <w:tcPr>
            <w:tcW w:type="dxa" w:w="1134"/>
            <w:shd w:val="clear" w:color="auto" w:fill="D9E2F3"/>
          </w:tcPr>
          <w:p>
            <w:r/>
            <w:r>
              <w:rPr>
                <w:rFonts w:ascii="Calibri" w:hAnsi="Calibri" w:eastAsia="微软雅黑"/>
                <w:b/>
                <w:sz w:val="18"/>
              </w:rPr>
              <w:t>硬件版本</w:t>
              <w:br/>
              <w:t>HW Ver.</w:t>
            </w:r>
          </w:p>
        </w:tc>
        <w:tc>
          <w:tcPr>
            <w:tcW w:type="dxa" w:w="1247"/>
            <w:shd w:val="clear" w:color="auto" w:fill="D9E2F3"/>
          </w:tcPr>
          <w:p>
            <w:r/>
            <w:r>
              <w:rPr>
                <w:rFonts w:ascii="Calibri" w:hAnsi="Calibri" w:eastAsia="微软雅黑"/>
                <w:b/>
                <w:sz w:val="18"/>
              </w:rPr>
              <w:t>软件版本</w:t>
              <w:br/>
              <w:t>SW Ver.</w:t>
            </w:r>
          </w:p>
        </w:tc>
        <w:tc>
          <w:tcPr>
            <w:tcW w:type="dxa" w:w="1474"/>
            <w:shd w:val="clear" w:color="auto" w:fill="D9E2F3"/>
          </w:tcPr>
          <w:p>
            <w:r/>
            <w:r>
              <w:rPr>
                <w:rFonts w:ascii="Calibri" w:hAnsi="Calibri" w:eastAsia="微软雅黑"/>
                <w:b/>
                <w:sz w:val="18"/>
              </w:rPr>
              <w:t>校验和</w:t>
              <w:br/>
              <w:t>Checksum</w:t>
            </w:r>
          </w:p>
        </w:tc>
        <w:tc>
          <w:tcPr>
            <w:tcW w:type="dxa" w:w="1361"/>
            <w:shd w:val="clear" w:color="auto" w:fill="D9E2F3"/>
          </w:tcPr>
          <w:p>
            <w:r/>
            <w:r>
              <w:rPr>
                <w:rFonts w:ascii="Calibri" w:hAnsi="Calibri" w:eastAsia="微软雅黑"/>
                <w:b/>
                <w:sz w:val="18"/>
              </w:rPr>
              <w:t>密钥状态</w:t>
              <w:br/>
              <w:t>Key state</w:t>
            </w:r>
          </w:p>
        </w:tc>
        <w:tc>
          <w:tcPr>
            <w:tcW w:type="dxa" w:w="1531"/>
            <w:shd w:val="clear" w:color="auto" w:fill="D9E2F3"/>
          </w:tcPr>
          <w:p>
            <w:r/>
            <w:r>
              <w:rPr>
                <w:rFonts w:ascii="Calibri" w:hAnsi="Calibri" w:eastAsia="微软雅黑"/>
                <w:b/>
                <w:sz w:val="18"/>
              </w:rPr>
              <w:t>去向</w:t>
              <w:br/>
              <w:t>Destination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FAN_F-S-【001】</w:t>
            </w:r>
          </w:p>
        </w:tc>
        <w:tc>
          <w:tcPr>
            <w:tcW w:type="dxa" w:w="1247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【】</w:t>
            </w:r>
          </w:p>
        </w:tc>
        <w:tc>
          <w:tcPr>
            <w:tcW w:type="dxa" w:w="1134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【】</w:t>
            </w:r>
          </w:p>
        </w:tc>
        <w:tc>
          <w:tcPr>
            <w:tcW w:type="dxa" w:w="1247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【】</w:t>
            </w:r>
          </w:p>
        </w:tc>
        <w:tc>
          <w:tcPr>
            <w:tcW w:type="dxa" w:w="1474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CRC32/SHA-256:</w:t>
              <w:br/>
              <w:t>【】</w:t>
            </w:r>
          </w:p>
        </w:tc>
        <w:tc>
          <w:tcPr>
            <w:tcW w:type="dxa" w:w="1361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生产 / Production</w:t>
            </w:r>
          </w:p>
        </w:tc>
        <w:tc>
          <w:tcPr>
            <w:tcW w:type="dxa" w:w="1531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福田安全评估 / Foton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FAN_F-S-【002】</w:t>
            </w:r>
          </w:p>
        </w:tc>
        <w:tc>
          <w:tcPr>
            <w:tcW w:type="dxa" w:w="1247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【】</w:t>
            </w:r>
          </w:p>
        </w:tc>
        <w:tc>
          <w:tcPr>
            <w:tcW w:type="dxa" w:w="1134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【】</w:t>
            </w:r>
          </w:p>
        </w:tc>
        <w:tc>
          <w:tcPr>
            <w:tcW w:type="dxa" w:w="1247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【】</w:t>
            </w:r>
          </w:p>
        </w:tc>
        <w:tc>
          <w:tcPr>
            <w:tcW w:type="dxa" w:w="1474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【】</w:t>
            </w:r>
          </w:p>
        </w:tc>
        <w:tc>
          <w:tcPr>
            <w:tcW w:type="dxa" w:w="1361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生产 / Production</w:t>
            </w:r>
          </w:p>
        </w:tc>
        <w:tc>
          <w:tcPr>
            <w:tcW w:type="dxa" w:w="1531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福田安全评估 / Foton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FAN_F-S-【】</w:t>
            </w:r>
          </w:p>
        </w:tc>
        <w:tc>
          <w:tcPr>
            <w:tcW w:type="dxa" w:w="1247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  <w:tc>
          <w:tcPr>
            <w:tcW w:type="dxa" w:w="1134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  <w:tc>
          <w:tcPr>
            <w:tcW w:type="dxa" w:w="1247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  <w:tc>
          <w:tcPr>
            <w:tcW w:type="dxa" w:w="1474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  <w:tc>
          <w:tcPr>
            <w:tcW w:type="dxa" w:w="1361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  <w:tc>
          <w:tcPr>
            <w:tcW w:type="dxa" w:w="1531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</w:tbl>
    <w:p/>
    <w:p>
      <w:r>
        <w:rPr>
          <w:rFonts w:ascii="Calibri" w:hAnsi="Calibri" w:eastAsia="微软雅黑"/>
          <w:b w:val="0"/>
          <w:sz w:val="21"/>
        </w:rPr>
        <w:t>本批样件数量：【N】件。均为 3-2-3 评估样件，不是 4-1 临时开门样件。标签至少包含：样件编号、零件号、SW/HW 版本、状态=生产。</w:t>
      </w:r>
    </w:p>
    <w:p>
      <w:r>
        <w:rPr>
          <w:rFonts w:ascii="Calibri" w:hAnsi="Calibri" w:eastAsia="微软雅黑"/>
          <w:b w:val="0"/>
          <w:color w:val="5A5A5A"/>
          <w:sz w:val="19"/>
        </w:rPr>
        <w:t>Quantity: 【N】. All units are 3-2-3 assessment samples, not 4-1 temporarily opened samples. Labels include Sample ID, part number, SW/HW version, state = Production.</w:t>
      </w:r>
    </w:p>
    <w:p>
      <w:pPr>
        <w:pStyle w:val="Heading1"/>
      </w:pPr>
      <w:r>
        <w:rPr>
          <w:rFonts w:ascii="Calibri" w:hAnsi="Calibri" w:eastAsia="微软雅黑"/>
          <w:b/>
          <w:sz w:val="30"/>
        </w:rPr>
        <w:t>4 软件与硬件基线</w:t>
      </w:r>
      <w:r>
        <w:rPr>
          <w:rFonts w:ascii="Calibri" w:hAnsi="Calibri" w:eastAsia="微软雅黑"/>
          <w:b w:val="0"/>
          <w:color w:val="646464"/>
          <w:sz w:val="22"/>
        </w:rPr>
        <w:t xml:space="preserve">  Software and Hardware Baseline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3118"/>
            <w:shd w:val="clear" w:color="auto" w:fill="D9E2F3"/>
          </w:tcPr>
          <w:p>
            <w:r/>
            <w:r>
              <w:rPr>
                <w:rFonts w:ascii="Calibri" w:hAnsi="Calibri" w:eastAsia="微软雅黑"/>
                <w:b/>
                <w:sz w:val="18"/>
              </w:rPr>
              <w:t>项目 Item</w:t>
            </w:r>
          </w:p>
        </w:tc>
        <w:tc>
          <w:tcPr>
            <w:tcW w:type="dxa" w:w="6236"/>
            <w:shd w:val="clear" w:color="auto" w:fill="D9E2F3"/>
          </w:tcPr>
          <w:p>
            <w:r/>
            <w:r>
              <w:rPr>
                <w:rFonts w:ascii="Calibri" w:hAnsi="Calibri" w:eastAsia="微软雅黑"/>
                <w:b/>
                <w:sz w:val="18"/>
              </w:rPr>
              <w:t>内容 Content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MCU</w:t>
            </w:r>
          </w:p>
        </w:tc>
        <w:tc>
          <w:tcPr>
            <w:tcW w:type="dxa" w:w="6236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NXP S32K144W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编译工具链 Toolchain</w:t>
            </w:r>
          </w:p>
        </w:tc>
        <w:tc>
          <w:tcPr>
            <w:tcW w:type="dxa" w:w="6236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【IAR / 版本号】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SDK</w:t>
            </w:r>
          </w:p>
        </w:tc>
        <w:tc>
          <w:tcPr>
            <w:tcW w:type="dxa" w:w="6236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s32sdk_s32k1xx_rtm_402【或实际版本】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应用软件版本 Application SW</w:t>
            </w:r>
          </w:p>
        </w:tc>
        <w:tc>
          <w:tcPr>
            <w:tcW w:type="dxa" w:w="6236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【x.y.z】    发布日期 Release: 【】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Bootloader 版本</w:t>
            </w:r>
          </w:p>
        </w:tc>
        <w:tc>
          <w:tcPr>
            <w:tcW w:type="dxa" w:w="6236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【x.y.z / 无独立 Bootloader】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发布包文件名 Release file</w:t>
            </w:r>
          </w:p>
        </w:tc>
        <w:tc>
          <w:tcPr>
            <w:tcW w:type="dxa" w:w="6236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【.hex / .s19 / .out】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校验算法 / 值 Checksum</w:t>
            </w:r>
          </w:p>
        </w:tc>
        <w:tc>
          <w:tcPr>
            <w:tcW w:type="dxa" w:w="6236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【CRC32 / SHA-256】  【值】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UDS 可读版本 DID</w:t>
            </w:r>
          </w:p>
        </w:tc>
        <w:tc>
          <w:tcPr>
            <w:tcW w:type="dxa" w:w="6236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【DID 号及读值】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硬件版本 / PCB / BOM</w:t>
            </w:r>
          </w:p>
        </w:tc>
        <w:tc>
          <w:tcPr>
            <w:tcW w:type="dxa" w:w="6236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【】 / 【】 / 【】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对应发布检查表</w:t>
            </w:r>
          </w:p>
        </w:tc>
        <w:tc>
          <w:tcPr>
            <w:tcW w:type="dxa" w:w="6236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FAN_F-CS-020 附录 A，已签字日期：【】</w:t>
            </w:r>
          </w:p>
        </w:tc>
      </w:tr>
    </w:tbl>
    <w:p/>
    <w:p>
      <w:pPr>
        <w:pStyle w:val="Heading1"/>
      </w:pPr>
      <w:r>
        <w:rPr>
          <w:rFonts w:ascii="Calibri" w:hAnsi="Calibri" w:eastAsia="微软雅黑"/>
          <w:b/>
          <w:sz w:val="30"/>
        </w:rPr>
        <w:t>5 安全机制激活明细</w:t>
      </w:r>
      <w:r>
        <w:rPr>
          <w:rFonts w:ascii="Calibri" w:hAnsi="Calibri" w:eastAsia="微软雅黑"/>
          <w:b w:val="0"/>
          <w:color w:val="646464"/>
          <w:sz w:val="22"/>
        </w:rPr>
        <w:t xml:space="preserve">  Security Mechanism Details</w:t>
      </w:r>
    </w:p>
    <w:p>
      <w:pPr>
        <w:pStyle w:val="Heading2"/>
      </w:pPr>
      <w:r>
        <w:rPr>
          <w:rFonts w:ascii="Calibri" w:hAnsi="Calibri" w:eastAsia="微软雅黑"/>
          <w:b/>
          <w:sz w:val="25"/>
        </w:rPr>
        <w:t>5.1 调试接口</w:t>
      </w:r>
      <w:r>
        <w:rPr>
          <w:rFonts w:ascii="Calibri" w:hAnsi="Calibri" w:eastAsia="微软雅黑"/>
          <w:b w:val="0"/>
          <w:color w:val="646464"/>
          <w:sz w:val="20"/>
        </w:rPr>
        <w:t xml:space="preserve">  Debug interface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1814"/>
            <w:shd w:val="clear" w:color="auto" w:fill="D9E2F3"/>
          </w:tcPr>
          <w:p>
            <w:r/>
            <w:r>
              <w:rPr>
                <w:rFonts w:ascii="Calibri" w:hAnsi="Calibri" w:eastAsia="微软雅黑"/>
                <w:b/>
                <w:sz w:val="18"/>
              </w:rPr>
              <w:t>接口 Interface</w:t>
            </w:r>
          </w:p>
        </w:tc>
        <w:tc>
          <w:tcPr>
            <w:tcW w:type="dxa" w:w="2721"/>
            <w:shd w:val="clear" w:color="auto" w:fill="D9E2F3"/>
          </w:tcPr>
          <w:p>
            <w:r/>
            <w:r>
              <w:rPr>
                <w:rFonts w:ascii="Calibri" w:hAnsi="Calibri" w:eastAsia="微软雅黑"/>
                <w:b/>
                <w:sz w:val="18"/>
              </w:rPr>
              <w:t>量产要求 Production requirement</w:t>
            </w:r>
          </w:p>
        </w:tc>
        <w:tc>
          <w:tcPr>
            <w:tcW w:type="dxa" w:w="2154"/>
            <w:shd w:val="clear" w:color="auto" w:fill="D9E2F3"/>
          </w:tcPr>
          <w:p>
            <w:r/>
            <w:r>
              <w:rPr>
                <w:rFonts w:ascii="Calibri" w:hAnsi="Calibri" w:eastAsia="微软雅黑"/>
                <w:b/>
                <w:sz w:val="18"/>
              </w:rPr>
              <w:t>本批样件 This batch</w:t>
            </w:r>
          </w:p>
        </w:tc>
        <w:tc>
          <w:tcPr>
            <w:tcW w:type="dxa" w:w="2665"/>
            <w:shd w:val="clear" w:color="auto" w:fill="D9E2F3"/>
          </w:tcPr>
          <w:p>
            <w:r/>
            <w:r>
              <w:rPr>
                <w:rFonts w:ascii="Calibri" w:hAnsi="Calibri" w:eastAsia="微软雅黑"/>
                <w:b/>
                <w:sz w:val="18"/>
              </w:rPr>
              <w:t>验证方法 Verification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SWD / JTAG</w:t>
            </w:r>
          </w:p>
        </w:tc>
        <w:tc>
          <w:tcPr>
            <w:tcW w:type="dxa" w:w="2721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锁定，无法读出应用 Flash</w:t>
            </w:r>
          </w:p>
        </w:tc>
        <w:tc>
          <w:tcPr>
            <w:tcW w:type="dxa" w:w="2154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□已锁定  □未锁定</w:t>
            </w:r>
          </w:p>
        </w:tc>
        <w:tc>
          <w:tcPr>
            <w:tcW w:type="dxa" w:w="2665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J-Link 连接应失败或不可读 Flash；附验证记录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备份调试门禁</w:t>
            </w:r>
          </w:p>
        </w:tc>
        <w:tc>
          <w:tcPr>
            <w:tcW w:type="dxa" w:w="2721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按客户要求关闭或口令保护</w:t>
            </w:r>
          </w:p>
        </w:tc>
        <w:tc>
          <w:tcPr>
            <w:tcW w:type="dxa" w:w="2154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□已关闭  □不适用</w:t>
            </w:r>
          </w:p>
        </w:tc>
        <w:tc>
          <w:tcPr>
            <w:tcW w:type="dxa" w:w="2665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【】</w:t>
            </w:r>
          </w:p>
        </w:tc>
      </w:tr>
    </w:tbl>
    <w:p/>
    <w:p>
      <w:pPr>
        <w:pStyle w:val="Heading2"/>
      </w:pPr>
      <w:r>
        <w:rPr>
          <w:rFonts w:ascii="Calibri" w:hAnsi="Calibri" w:eastAsia="微软雅黑"/>
          <w:b/>
          <w:sz w:val="25"/>
        </w:rPr>
        <w:t>5.2 诊断、标定与刷写</w:t>
      </w:r>
      <w:r>
        <w:rPr>
          <w:rFonts w:ascii="Calibri" w:hAnsi="Calibri" w:eastAsia="微软雅黑"/>
          <w:b w:val="0"/>
          <w:color w:val="646464"/>
          <w:sz w:val="20"/>
        </w:rPr>
        <w:t xml:space="preserve">  Diagnostics, calibration and flashing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2835"/>
            <w:shd w:val="clear" w:color="auto" w:fill="D9E2F3"/>
          </w:tcPr>
          <w:p>
            <w:r/>
            <w:r>
              <w:rPr>
                <w:rFonts w:ascii="Calibri" w:hAnsi="Calibri" w:eastAsia="微软雅黑"/>
                <w:b/>
                <w:sz w:val="18"/>
              </w:rPr>
              <w:t>接口 / 服务 Interface / service</w:t>
            </w:r>
          </w:p>
        </w:tc>
        <w:tc>
          <w:tcPr>
            <w:tcW w:type="dxa" w:w="3685"/>
            <w:shd w:val="clear" w:color="auto" w:fill="D9E2F3"/>
          </w:tcPr>
          <w:p>
            <w:r/>
            <w:r>
              <w:rPr>
                <w:rFonts w:ascii="Calibri" w:hAnsi="Calibri" w:eastAsia="微软雅黑"/>
                <w:b/>
                <w:sz w:val="18"/>
              </w:rPr>
              <w:t>量产要求 Production requirement</w:t>
            </w:r>
          </w:p>
        </w:tc>
        <w:tc>
          <w:tcPr>
            <w:tcW w:type="dxa" w:w="2835"/>
            <w:shd w:val="clear" w:color="auto" w:fill="D9E2F3"/>
          </w:tcPr>
          <w:p>
            <w:r/>
            <w:r>
              <w:rPr>
                <w:rFonts w:ascii="Calibri" w:hAnsi="Calibri" w:eastAsia="微软雅黑"/>
                <w:b/>
                <w:sz w:val="18"/>
              </w:rPr>
              <w:t>本批样件 This batch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FreeMASTER / CAN 标定（如 0x7AA）</w:t>
            </w:r>
          </w:p>
        </w:tc>
        <w:tc>
          <w:tcPr>
            <w:tcW w:type="dxa" w:w="3685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关闭，或仅在 0x27 解锁后可用</w:t>
            </w:r>
          </w:p>
        </w:tc>
        <w:tc>
          <w:tcPr>
            <w:tcW w:type="dxa" w:w="2835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□已关闭  □0x27 后可用  □仍开放（不合格）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UDS 默认会话读服务</w:t>
            </w:r>
          </w:p>
        </w:tc>
        <w:tc>
          <w:tcPr>
            <w:tcW w:type="dxa" w:w="3685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仅保留客户需求中的 DID</w:t>
            </w:r>
          </w:p>
        </w:tc>
        <w:tc>
          <w:tcPr>
            <w:tcW w:type="dxa" w:w="2835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见 5.3 白名单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UDS 写 / IO 控制 / 例程</w:t>
            </w:r>
          </w:p>
        </w:tc>
        <w:tc>
          <w:tcPr>
            <w:tcW w:type="dxa" w:w="3685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须先通过 0x27 安全访问</w:t>
            </w:r>
          </w:p>
        </w:tc>
        <w:tc>
          <w:tcPr>
            <w:tcW w:type="dxa" w:w="2835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□已绑定  □未绑定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UDS 刷写（0x34/0x36/0x37 等）</w:t>
            </w:r>
          </w:p>
        </w:tc>
        <w:tc>
          <w:tcPr>
            <w:tcW w:type="dxa" w:w="3685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须 0x27；仅接受校验/签名通过的包</w:t>
            </w:r>
          </w:p>
        </w:tc>
        <w:tc>
          <w:tcPr>
            <w:tcW w:type="dxa" w:w="2835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□已启用  □无刷写  □未启用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刷写包验签 / 完整性</w:t>
            </w:r>
          </w:p>
        </w:tc>
        <w:tc>
          <w:tcPr>
            <w:tcW w:type="dxa" w:w="3685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生产公钥验签或 CRC+密钥；拒绝未授权包</w:t>
            </w:r>
          </w:p>
        </w:tc>
        <w:tc>
          <w:tcPr>
            <w:tcW w:type="dxa" w:w="2835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□验签  □仅校验和  □无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测试 DID / 后门命令 / 工程模式</w:t>
            </w:r>
          </w:p>
        </w:tc>
        <w:tc>
          <w:tcPr>
            <w:tcW w:type="dxa" w:w="3685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正式产品中移除</w:t>
            </w:r>
          </w:p>
        </w:tc>
        <w:tc>
          <w:tcPr>
            <w:tcW w:type="dxa" w:w="2835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□已移除  □仍存在（不合格）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调试串口 / 明文日志</w:t>
            </w:r>
          </w:p>
        </w:tc>
        <w:tc>
          <w:tcPr>
            <w:tcW w:type="dxa" w:w="3685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关闭或仅非敏感信息</w:t>
            </w:r>
          </w:p>
        </w:tc>
        <w:tc>
          <w:tcPr>
            <w:tcW w:type="dxa" w:w="2835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□已关闭  □已脱敏  □仍开放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测试账号、测试口令、测试密钥</w:t>
            </w:r>
          </w:p>
        </w:tc>
        <w:tc>
          <w:tcPr>
            <w:tcW w:type="dxa" w:w="3685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本批样件不包含（属 4-1）</w:t>
            </w:r>
          </w:p>
        </w:tc>
        <w:tc>
          <w:tcPr>
            <w:tcW w:type="dxa" w:w="2835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□未包含  □误包含（不合格）</w:t>
            </w:r>
          </w:p>
        </w:tc>
      </w:tr>
    </w:tbl>
    <w:p/>
    <w:p>
      <w:pPr>
        <w:pStyle w:val="Heading2"/>
      </w:pPr>
      <w:r>
        <w:rPr>
          <w:rFonts w:ascii="Calibri" w:hAnsi="Calibri" w:eastAsia="微软雅黑"/>
          <w:b/>
          <w:sz w:val="25"/>
        </w:rPr>
        <w:t>5.3 UDS 服务与 DID 白名单</w:t>
      </w:r>
      <w:r>
        <w:rPr>
          <w:rFonts w:ascii="Calibri" w:hAnsi="Calibri" w:eastAsia="微软雅黑"/>
          <w:b w:val="0"/>
          <w:color w:val="646464"/>
          <w:sz w:val="20"/>
        </w:rPr>
        <w:t xml:space="preserve">  UDS service and DID whitelist</w:t>
      </w:r>
    </w:p>
    <w:p>
      <w:r>
        <w:rPr>
          <w:rFonts w:ascii="Calibri" w:hAnsi="Calibri" w:eastAsia="微软雅黑"/>
          <w:b w:val="0"/>
          <w:sz w:val="21"/>
        </w:rPr>
        <w:t>下列清单须与福田诊断需求一致。未列出的服务在本批样件中不可用。</w:t>
      </w:r>
    </w:p>
    <w:p>
      <w:r>
        <w:rPr>
          <w:rFonts w:ascii="Calibri" w:hAnsi="Calibri" w:eastAsia="微软雅黑"/>
          <w:b w:val="0"/>
          <w:color w:val="5A5A5A"/>
          <w:sz w:val="19"/>
        </w:rPr>
        <w:t>The list shall match Foton diagnostic requirements. Services not listed are unavailable on this batch.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587"/>
            <w:shd w:val="clear" w:color="auto" w:fill="D9E2F3"/>
          </w:tcPr>
          <w:p>
            <w:r/>
            <w:r>
              <w:rPr>
                <w:rFonts w:ascii="Calibri" w:hAnsi="Calibri" w:eastAsia="微软雅黑"/>
                <w:b/>
                <w:sz w:val="18"/>
              </w:rPr>
              <w:t>服务 SID</w:t>
            </w:r>
          </w:p>
        </w:tc>
        <w:tc>
          <w:tcPr>
            <w:tcW w:type="dxa" w:w="2381"/>
            <w:shd w:val="clear" w:color="auto" w:fill="D9E2F3"/>
          </w:tcPr>
          <w:p>
            <w:r/>
            <w:r>
              <w:rPr>
                <w:rFonts w:ascii="Calibri" w:hAnsi="Calibri" w:eastAsia="微软雅黑"/>
                <w:b/>
                <w:sz w:val="18"/>
              </w:rPr>
              <w:t>名称 Name</w:t>
            </w:r>
          </w:p>
        </w:tc>
        <w:tc>
          <w:tcPr>
            <w:tcW w:type="dxa" w:w="2041"/>
            <w:shd w:val="clear" w:color="auto" w:fill="D9E2F3"/>
          </w:tcPr>
          <w:p>
            <w:r/>
            <w:r>
              <w:rPr>
                <w:rFonts w:ascii="Calibri" w:hAnsi="Calibri" w:eastAsia="微软雅黑"/>
                <w:b/>
                <w:sz w:val="18"/>
              </w:rPr>
              <w:t>是否需 0x27 Requires 0x27</w:t>
            </w:r>
          </w:p>
        </w:tc>
        <w:tc>
          <w:tcPr>
            <w:tcW w:type="dxa" w:w="1474"/>
            <w:shd w:val="clear" w:color="auto" w:fill="D9E2F3"/>
          </w:tcPr>
          <w:p>
            <w:r/>
            <w:r>
              <w:rPr>
                <w:rFonts w:ascii="Calibri" w:hAnsi="Calibri" w:eastAsia="微软雅黑"/>
                <w:b/>
                <w:sz w:val="18"/>
              </w:rPr>
              <w:t>本批样件 This batch</w:t>
            </w:r>
          </w:p>
        </w:tc>
        <w:tc>
          <w:tcPr>
            <w:tcW w:type="dxa" w:w="1871"/>
            <w:shd w:val="clear" w:color="auto" w:fill="D9E2F3"/>
          </w:tcPr>
          <w:p>
            <w:r/>
            <w:r>
              <w:rPr>
                <w:rFonts w:ascii="Calibri" w:hAnsi="Calibri" w:eastAsia="微软雅黑"/>
                <w:b/>
                <w:sz w:val="18"/>
              </w:rPr>
              <w:t>备注 Remarks</w:t>
            </w:r>
          </w:p>
        </w:tc>
      </w:tr>
      <w:tr>
        <w:tc>
          <w:tcPr>
            <w:tcW w:type="dxa" w:w="1587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0x10</w:t>
            </w:r>
          </w:p>
        </w:tc>
        <w:tc>
          <w:tcPr>
            <w:tcW w:type="dxa" w:w="2381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Diagnostic Session Control</w:t>
            </w:r>
          </w:p>
        </w:tc>
        <w:tc>
          <w:tcPr>
            <w:tcW w:type="dxa" w:w="2041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扩展/编程会话按需求</w:t>
            </w:r>
          </w:p>
        </w:tc>
        <w:tc>
          <w:tcPr>
            <w:tcW w:type="dxa" w:w="1474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□开  □关</w:t>
            </w:r>
          </w:p>
        </w:tc>
        <w:tc>
          <w:tcPr>
            <w:tcW w:type="dxa" w:w="1871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1587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0x22</w:t>
            </w:r>
          </w:p>
        </w:tc>
        <w:tc>
          <w:tcPr>
            <w:tcW w:type="dxa" w:w="2381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Read Data By Identifier</w:t>
            </w:r>
          </w:p>
        </w:tc>
        <w:tc>
          <w:tcPr>
            <w:tcW w:type="dxa" w:w="2041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否（只读非敏感 DID）</w:t>
            </w:r>
          </w:p>
        </w:tc>
        <w:tc>
          <w:tcPr>
            <w:tcW w:type="dxa" w:w="1474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□开  □关</w:t>
            </w:r>
          </w:p>
        </w:tc>
        <w:tc>
          <w:tcPr>
            <w:tcW w:type="dxa" w:w="1871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敏感 DID 禁止</w:t>
            </w:r>
          </w:p>
        </w:tc>
      </w:tr>
      <w:tr>
        <w:tc>
          <w:tcPr>
            <w:tcW w:type="dxa" w:w="1587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0x2E</w:t>
            </w:r>
          </w:p>
        </w:tc>
        <w:tc>
          <w:tcPr>
            <w:tcW w:type="dxa" w:w="2381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Write Data By Identifier</w:t>
            </w:r>
          </w:p>
        </w:tc>
        <w:tc>
          <w:tcPr>
            <w:tcW w:type="dxa" w:w="2041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是</w:t>
            </w:r>
          </w:p>
        </w:tc>
        <w:tc>
          <w:tcPr>
            <w:tcW w:type="dxa" w:w="1474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□开  □关</w:t>
            </w:r>
          </w:p>
        </w:tc>
        <w:tc>
          <w:tcPr>
            <w:tcW w:type="dxa" w:w="1871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1587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0x27</w:t>
            </w:r>
          </w:p>
        </w:tc>
        <w:tc>
          <w:tcPr>
            <w:tcW w:type="dxa" w:w="2381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Security Access</w:t>
            </w:r>
          </w:p>
        </w:tc>
        <w:tc>
          <w:tcPr>
            <w:tcW w:type="dxa" w:w="2041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—</w:t>
            </w:r>
          </w:p>
        </w:tc>
        <w:tc>
          <w:tcPr>
            <w:tcW w:type="dxa" w:w="1474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□开  □关</w:t>
            </w:r>
          </w:p>
        </w:tc>
        <w:tc>
          <w:tcPr>
            <w:tcW w:type="dxa" w:w="1871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生产 Seed-Key</w:t>
            </w:r>
          </w:p>
        </w:tc>
      </w:tr>
      <w:tr>
        <w:tc>
          <w:tcPr>
            <w:tcW w:type="dxa" w:w="1587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0x31</w:t>
            </w:r>
          </w:p>
        </w:tc>
        <w:tc>
          <w:tcPr>
            <w:tcW w:type="dxa" w:w="2381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Routine Control</w:t>
            </w:r>
          </w:p>
        </w:tc>
        <w:tc>
          <w:tcPr>
            <w:tcW w:type="dxa" w:w="2041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按服务</w:t>
            </w:r>
          </w:p>
        </w:tc>
        <w:tc>
          <w:tcPr>
            <w:tcW w:type="dxa" w:w="1474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□开  □关</w:t>
            </w:r>
          </w:p>
        </w:tc>
        <w:tc>
          <w:tcPr>
            <w:tcW w:type="dxa" w:w="1871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1587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0x2F</w:t>
            </w:r>
          </w:p>
        </w:tc>
        <w:tc>
          <w:tcPr>
            <w:tcW w:type="dxa" w:w="2381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Input Output Control</w:t>
            </w:r>
          </w:p>
        </w:tc>
        <w:tc>
          <w:tcPr>
            <w:tcW w:type="dxa" w:w="2041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是</w:t>
            </w:r>
          </w:p>
        </w:tc>
        <w:tc>
          <w:tcPr>
            <w:tcW w:type="dxa" w:w="1474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□开  □关</w:t>
            </w:r>
          </w:p>
        </w:tc>
        <w:tc>
          <w:tcPr>
            <w:tcW w:type="dxa" w:w="1871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风扇控制</w:t>
            </w:r>
          </w:p>
        </w:tc>
      </w:tr>
      <w:tr>
        <w:tc>
          <w:tcPr>
            <w:tcW w:type="dxa" w:w="1587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0x14/0x19</w:t>
            </w:r>
          </w:p>
        </w:tc>
        <w:tc>
          <w:tcPr>
            <w:tcW w:type="dxa" w:w="2381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DTC</w:t>
            </w:r>
          </w:p>
        </w:tc>
        <w:tc>
          <w:tcPr>
            <w:tcW w:type="dxa" w:w="2041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否</w:t>
            </w:r>
          </w:p>
        </w:tc>
        <w:tc>
          <w:tcPr>
            <w:tcW w:type="dxa" w:w="1474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□开  □关</w:t>
            </w:r>
          </w:p>
        </w:tc>
        <w:tc>
          <w:tcPr>
            <w:tcW w:type="dxa" w:w="1871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1587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0x34/0x36/0x37</w:t>
            </w:r>
          </w:p>
        </w:tc>
        <w:tc>
          <w:tcPr>
            <w:tcW w:type="dxa" w:w="2381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刷写 Download</w:t>
            </w:r>
          </w:p>
        </w:tc>
        <w:tc>
          <w:tcPr>
            <w:tcW w:type="dxa" w:w="2041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是</w:t>
            </w:r>
          </w:p>
        </w:tc>
        <w:tc>
          <w:tcPr>
            <w:tcW w:type="dxa" w:w="1474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□开  □关</w:t>
            </w:r>
          </w:p>
        </w:tc>
        <w:tc>
          <w:tcPr>
            <w:tcW w:type="dxa" w:w="1871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1587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【其他】</w:t>
            </w:r>
          </w:p>
        </w:tc>
        <w:tc>
          <w:tcPr>
            <w:tcW w:type="dxa" w:w="2381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  <w:tc>
          <w:tcPr>
            <w:tcW w:type="dxa" w:w="2041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  <w:tc>
          <w:tcPr>
            <w:tcW w:type="dxa" w:w="1474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  <w:tc>
          <w:tcPr>
            <w:tcW w:type="dxa" w:w="1871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</w:tbl>
    <w:p/>
    <w:p>
      <w:pPr>
        <w:pStyle w:val="Heading1"/>
      </w:pPr>
      <w:r>
        <w:rPr>
          <w:rFonts w:ascii="Calibri" w:hAnsi="Calibri" w:eastAsia="微软雅黑"/>
          <w:b/>
          <w:sz w:val="30"/>
        </w:rPr>
        <w:t>6 TARA 中高风险资产保护</w:t>
      </w:r>
      <w:r>
        <w:rPr>
          <w:rFonts w:ascii="Calibri" w:hAnsi="Calibri" w:eastAsia="微软雅黑"/>
          <w:b w:val="0"/>
          <w:color w:val="646464"/>
          <w:sz w:val="22"/>
        </w:rPr>
        <w:t xml:space="preserve">  Protection of TARA Medium/High-risk Assets</w:t>
      </w:r>
    </w:p>
    <w:p>
      <w:r>
        <w:rPr>
          <w:rFonts w:ascii="Calibri" w:hAnsi="Calibri" w:eastAsia="微软雅黑"/>
          <w:b w:val="0"/>
          <w:sz w:val="21"/>
        </w:rPr>
        <w:t>下表在 CIA 3-1-2 与福田确认 TARA 后填写最终状态。确认前按风扇控制器典型中高风险预先落实，并在“依据”列标注“预控 / 已确认”。</w:t>
      </w:r>
    </w:p>
    <w:p>
      <w:r>
        <w:rPr>
          <w:rFonts w:ascii="Calibri" w:hAnsi="Calibri" w:eastAsia="微软雅黑"/>
          <w:b w:val="0"/>
          <w:color w:val="5A5A5A"/>
          <w:sz w:val="19"/>
        </w:rPr>
        <w:t>Complete after TARA confirmation with Foton (CIA 3-1-2). Before confirmation, typical medium/high risks of the fan controller are pre-controlled and marked as Pre-control or Confirmed.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2381"/>
            <w:shd w:val="clear" w:color="auto" w:fill="D9E2F3"/>
          </w:tcPr>
          <w:p>
            <w:r/>
            <w:r>
              <w:rPr>
                <w:rFonts w:ascii="Calibri" w:hAnsi="Calibri" w:eastAsia="微软雅黑"/>
                <w:b/>
                <w:sz w:val="18"/>
              </w:rPr>
              <w:t>资产 / 威胁 Asset / threat</w:t>
            </w:r>
          </w:p>
        </w:tc>
        <w:tc>
          <w:tcPr>
            <w:tcW w:type="dxa" w:w="1474"/>
            <w:shd w:val="clear" w:color="auto" w:fill="D9E2F3"/>
          </w:tcPr>
          <w:p>
            <w:r/>
            <w:r>
              <w:rPr>
                <w:rFonts w:ascii="Calibri" w:hAnsi="Calibri" w:eastAsia="微软雅黑"/>
                <w:b/>
                <w:sz w:val="18"/>
              </w:rPr>
              <w:t>风险等级 Risk</w:t>
            </w:r>
          </w:p>
        </w:tc>
        <w:tc>
          <w:tcPr>
            <w:tcW w:type="dxa" w:w="2608"/>
            <w:shd w:val="clear" w:color="auto" w:fill="D9E2F3"/>
          </w:tcPr>
          <w:p>
            <w:r/>
            <w:r>
              <w:rPr>
                <w:rFonts w:ascii="Calibri" w:hAnsi="Calibri" w:eastAsia="微软雅黑"/>
                <w:b/>
                <w:sz w:val="18"/>
              </w:rPr>
              <w:t>样件上的保护措施 Protection on sample</w:t>
            </w:r>
          </w:p>
        </w:tc>
        <w:tc>
          <w:tcPr>
            <w:tcW w:type="dxa" w:w="1361"/>
            <w:shd w:val="clear" w:color="auto" w:fill="D9E2F3"/>
          </w:tcPr>
          <w:p>
            <w:r/>
            <w:r>
              <w:rPr>
                <w:rFonts w:ascii="Calibri" w:hAnsi="Calibri" w:eastAsia="微软雅黑"/>
                <w:b/>
                <w:sz w:val="18"/>
              </w:rPr>
              <w:t>依据 Basis</w:t>
            </w:r>
          </w:p>
        </w:tc>
        <w:tc>
          <w:tcPr>
            <w:tcW w:type="dxa" w:w="1531"/>
            <w:shd w:val="clear" w:color="auto" w:fill="D9E2F3"/>
          </w:tcPr>
          <w:p>
            <w:r/>
            <w:r>
              <w:rPr>
                <w:rFonts w:ascii="Calibri" w:hAnsi="Calibri" w:eastAsia="微软雅黑"/>
                <w:b/>
                <w:sz w:val="18"/>
              </w:rPr>
              <w:t>状态 Status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固件被未授权刷写 / Unauthorized flashing</w:t>
            </w:r>
          </w:p>
        </w:tc>
        <w:tc>
          <w:tcPr>
            <w:tcW w:type="dxa" w:w="1474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 / High（预控）</w:t>
            </w:r>
          </w:p>
        </w:tc>
        <w:tc>
          <w:tcPr>
            <w:tcW w:type="dxa" w:w="260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刷写须 0x27；仅接受校验/签名通过的包</w:t>
            </w:r>
          </w:p>
        </w:tc>
        <w:tc>
          <w:tcPr>
            <w:tcW w:type="dxa" w:w="1361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□预控 □已确认</w:t>
            </w:r>
          </w:p>
        </w:tc>
        <w:tc>
          <w:tcPr>
            <w:tcW w:type="dxa" w:w="1531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□已落实 □未落实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诊断写/IO 控制被滥用 / Abuse of write / I/O</w:t>
            </w:r>
          </w:p>
        </w:tc>
        <w:tc>
          <w:tcPr>
            <w:tcW w:type="dxa" w:w="1474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 / High（预控）</w:t>
            </w:r>
          </w:p>
        </w:tc>
        <w:tc>
          <w:tcPr>
            <w:tcW w:type="dxa" w:w="260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写、IO、相关例程须 0x27</w:t>
            </w:r>
          </w:p>
        </w:tc>
        <w:tc>
          <w:tcPr>
            <w:tcW w:type="dxa" w:w="1361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□预控 □已确认</w:t>
            </w:r>
          </w:p>
        </w:tc>
        <w:tc>
          <w:tcPr>
            <w:tcW w:type="dxa" w:w="1531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□已落实 □未落实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密钥/算法被读出 / Key or algorithm extraction</w:t>
            </w:r>
          </w:p>
        </w:tc>
        <w:tc>
          <w:tcPr>
            <w:tcW w:type="dxa" w:w="1474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 / High（预控）</w:t>
            </w:r>
          </w:p>
        </w:tc>
        <w:tc>
          <w:tcPr>
            <w:tcW w:type="dxa" w:w="260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JTAG 锁；禁止诊断读出密钥；代码无明文密钥</w:t>
            </w:r>
          </w:p>
        </w:tc>
        <w:tc>
          <w:tcPr>
            <w:tcW w:type="dxa" w:w="1361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□预控 □已确认</w:t>
            </w:r>
          </w:p>
        </w:tc>
        <w:tc>
          <w:tcPr>
            <w:tcW w:type="dxa" w:w="1531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□已落实 □未落实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FreeMASTER/标定口未授权访问</w:t>
            </w:r>
          </w:p>
        </w:tc>
        <w:tc>
          <w:tcPr>
            <w:tcW w:type="dxa" w:w="1474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 / Medium（预控）</w:t>
            </w:r>
          </w:p>
        </w:tc>
        <w:tc>
          <w:tcPr>
            <w:tcW w:type="dxa" w:w="260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量产关闭或绑定 0x27</w:t>
            </w:r>
          </w:p>
        </w:tc>
        <w:tc>
          <w:tcPr>
            <w:tcW w:type="dxa" w:w="1361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□预控 □已确认</w:t>
            </w:r>
          </w:p>
        </w:tc>
        <w:tc>
          <w:tcPr>
            <w:tcW w:type="dxa" w:w="1531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□已落实 □未落实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CAN 伪造控制指令 / Spoofed CAN control</w:t>
            </w:r>
          </w:p>
        </w:tc>
        <w:tc>
          <w:tcPr>
            <w:tcW w:type="dxa" w:w="1474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【待 TARA】</w:t>
            </w:r>
          </w:p>
        </w:tc>
        <w:tc>
          <w:tcPr>
            <w:tcW w:type="dxa" w:w="260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【按整车需求：安全访问 / 报文鉴权 / 不适用】</w:t>
            </w:r>
          </w:p>
        </w:tc>
        <w:tc>
          <w:tcPr>
            <w:tcW w:type="dxa" w:w="1361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□预控 □已确认</w:t>
            </w:r>
          </w:p>
        </w:tc>
        <w:tc>
          <w:tcPr>
            <w:tcW w:type="dxa" w:w="1531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□已落实 □待确认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【TARA 确认项】</w:t>
            </w:r>
          </w:p>
        </w:tc>
        <w:tc>
          <w:tcPr>
            <w:tcW w:type="dxa" w:w="1474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  <w:tc>
          <w:tcPr>
            <w:tcW w:type="dxa" w:w="260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  <w:tc>
          <w:tcPr>
            <w:tcW w:type="dxa" w:w="1361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已确认</w:t>
            </w:r>
          </w:p>
        </w:tc>
        <w:tc>
          <w:tcPr>
            <w:tcW w:type="dxa" w:w="1531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</w:tbl>
    <w:p/>
    <w:p>
      <w:pPr>
        <w:pStyle w:val="Heading1"/>
      </w:pPr>
      <w:r>
        <w:rPr>
          <w:rFonts w:ascii="Calibri" w:hAnsi="Calibri" w:eastAsia="微软雅黑"/>
          <w:b/>
          <w:sz w:val="30"/>
        </w:rPr>
        <w:t>7 与 4-1 配合样件的区分</w:t>
      </w:r>
      <w:r>
        <w:rPr>
          <w:rFonts w:ascii="Calibri" w:hAnsi="Calibri" w:eastAsia="微软雅黑"/>
          <w:b w:val="0"/>
          <w:color w:val="646464"/>
          <w:sz w:val="22"/>
        </w:rPr>
        <w:t xml:space="preserve">  Distinction from 4-1 Support Samples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984"/>
            <w:shd w:val="clear" w:color="auto" w:fill="D9E2F3"/>
          </w:tcPr>
          <w:p>
            <w:r/>
            <w:r>
              <w:rPr>
                <w:rFonts w:ascii="Calibri" w:hAnsi="Calibri" w:eastAsia="微软雅黑"/>
                <w:b/>
                <w:sz w:val="18"/>
              </w:rPr>
              <w:t>项目 Item</w:t>
            </w:r>
          </w:p>
        </w:tc>
        <w:tc>
          <w:tcPr>
            <w:tcW w:type="dxa" w:w="3685"/>
            <w:shd w:val="clear" w:color="auto" w:fill="D9E2F3"/>
          </w:tcPr>
          <w:p>
            <w:r/>
            <w:r>
              <w:rPr>
                <w:rFonts w:ascii="Calibri" w:hAnsi="Calibri" w:eastAsia="微软雅黑"/>
                <w:b/>
                <w:sz w:val="18"/>
              </w:rPr>
              <w:t>3-2-3 本批评估样件 This batch</w:t>
            </w:r>
          </w:p>
        </w:tc>
        <w:tc>
          <w:tcPr>
            <w:tcW w:type="dxa" w:w="3685"/>
            <w:shd w:val="clear" w:color="auto" w:fill="D9E2F3"/>
          </w:tcPr>
          <w:p>
            <w:r/>
            <w:r>
              <w:rPr>
                <w:rFonts w:ascii="Calibri" w:hAnsi="Calibri" w:eastAsia="微软雅黑"/>
                <w:b/>
                <w:sz w:val="18"/>
              </w:rPr>
              <w:t>4-1 渗透测试配合样件（如需要） 4-1 support sample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用途 Purpose</w:t>
            </w:r>
          </w:p>
        </w:tc>
        <w:tc>
          <w:tcPr>
            <w:tcW w:type="dxa" w:w="3685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验证量产形态是否锁死</w:t>
            </w:r>
          </w:p>
        </w:tc>
        <w:tc>
          <w:tcPr>
            <w:tcW w:type="dxa" w:w="3685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配合福田渗透/联调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JTAG</w:t>
            </w:r>
          </w:p>
        </w:tc>
        <w:tc>
          <w:tcPr>
            <w:tcW w:type="dxa" w:w="3685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锁定</w:t>
            </w:r>
          </w:p>
        </w:tc>
        <w:tc>
          <w:tcPr>
            <w:tcW w:type="dxa" w:w="3685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可按协议临时打开，测完关闭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密钥</w:t>
            </w:r>
          </w:p>
        </w:tc>
        <w:tc>
          <w:tcPr>
            <w:tcW w:type="dxa" w:w="3685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仅生产密钥</w:t>
            </w:r>
          </w:p>
        </w:tc>
        <w:tc>
          <w:tcPr>
            <w:tcW w:type="dxa" w:w="3685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可提供测试密钥，正式产品不得保留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FreeMASTER / 测试口</w:t>
            </w:r>
          </w:p>
        </w:tc>
        <w:tc>
          <w:tcPr>
            <w:tcW w:type="dxa" w:w="3685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关闭或 0x27 后可用</w:t>
            </w:r>
          </w:p>
        </w:tc>
        <w:tc>
          <w:tcPr>
            <w:tcW w:type="dxa" w:w="3685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可临时开放，正式产品关闭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编号规则 ID rule</w:t>
            </w:r>
          </w:p>
        </w:tc>
        <w:tc>
          <w:tcPr>
            <w:tcW w:type="dxa" w:w="3685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FAN_F-S-xxx</w:t>
            </w:r>
          </w:p>
        </w:tc>
        <w:tc>
          <w:tcPr>
            <w:tcW w:type="dxa" w:w="3685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FAN_F-T-xxx（单独台账）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去向 Destination</w:t>
            </w:r>
          </w:p>
        </w:tc>
        <w:tc>
          <w:tcPr>
            <w:tcW w:type="dxa" w:w="3685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福田安全评估</w:t>
            </w:r>
          </w:p>
        </w:tc>
        <w:tc>
          <w:tcPr>
            <w:tcW w:type="dxa" w:w="3685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测试后回收或刷回生产态</w:t>
            </w:r>
          </w:p>
        </w:tc>
      </w:tr>
    </w:tbl>
    <w:p/>
    <w:p>
      <w:r>
        <w:rPr>
          <w:rFonts w:ascii="Calibri" w:hAnsi="Calibri" w:eastAsia="微软雅黑"/>
          <w:b w:val="0"/>
          <w:sz w:val="21"/>
        </w:rPr>
        <w:t>本文件所附硬件全部为 3-2-3 评估样件。4-1 所需测试账号、测试密钥、临时接口及技术文档按 4-1 单独提供，不包含在本批样件及正式产品中。</w:t>
      </w:r>
    </w:p>
    <w:p>
      <w:r>
        <w:rPr>
          <w:rFonts w:ascii="Calibri" w:hAnsi="Calibri" w:eastAsia="微软雅黑"/>
          <w:b w:val="0"/>
          <w:color w:val="5A5A5A"/>
          <w:sz w:val="19"/>
        </w:rPr>
        <w:t>Hardware covered by this document is 3-2-3 assessment samples only. Test accounts, test keys, temporary interfaces and technical documents for 4-1 are provided separately and are not included in this batch or in the official product.</w:t>
      </w:r>
    </w:p>
    <w:p>
      <w:pPr>
        <w:pStyle w:val="Heading1"/>
      </w:pPr>
      <w:r>
        <w:rPr>
          <w:rFonts w:ascii="Calibri" w:hAnsi="Calibri" w:eastAsia="微软雅黑"/>
          <w:b/>
          <w:sz w:val="30"/>
        </w:rPr>
        <w:t>8 上电、CAN 与诊断连接</w:t>
      </w:r>
      <w:r>
        <w:rPr>
          <w:rFonts w:ascii="Calibri" w:hAnsi="Calibri" w:eastAsia="微软雅黑"/>
          <w:b w:val="0"/>
          <w:color w:val="646464"/>
          <w:sz w:val="22"/>
        </w:rPr>
        <w:t xml:space="preserve">  Power, CAN and Diagnostic Connection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551"/>
            <w:shd w:val="clear" w:color="auto" w:fill="D9E2F3"/>
          </w:tcPr>
          <w:p>
            <w:r/>
            <w:r>
              <w:rPr>
                <w:rFonts w:ascii="Calibri" w:hAnsi="Calibri" w:eastAsia="微软雅黑"/>
                <w:b/>
                <w:sz w:val="18"/>
              </w:rPr>
              <w:t>项目 Item</w:t>
            </w:r>
          </w:p>
        </w:tc>
        <w:tc>
          <w:tcPr>
            <w:tcW w:type="dxa" w:w="6803"/>
            <w:shd w:val="clear" w:color="auto" w:fill="D9E2F3"/>
          </w:tcPr>
          <w:p>
            <w:r/>
            <w:r>
              <w:rPr>
                <w:rFonts w:ascii="Calibri" w:hAnsi="Calibri" w:eastAsia="微软雅黑"/>
                <w:b/>
                <w:sz w:val="18"/>
              </w:rPr>
              <w:t>参数 / 说明 Value / description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供电 Power</w:t>
            </w:r>
          </w:p>
        </w:tc>
        <w:tc>
          <w:tcPr>
            <w:tcW w:type="dxa" w:w="680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【低压 12 V / 高压母线 XXX V，按台架】  接口定义见【针脚图文件名】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CAN 通道 CAN channel</w:t>
            </w:r>
          </w:p>
        </w:tc>
        <w:tc>
          <w:tcPr>
            <w:tcW w:type="dxa" w:w="680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【CAN1】  波特率 【500 kbit/s】  终端电阻 【样件内 / 外置 120 Ω】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诊断地址 Diagnostic address</w:t>
            </w:r>
          </w:p>
        </w:tc>
        <w:tc>
          <w:tcPr>
            <w:tcW w:type="dxa" w:w="680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【0xXX】  请求/响应 ID 【】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安全访问 Security Access</w:t>
            </w:r>
          </w:p>
        </w:tc>
        <w:tc>
          <w:tcPr>
            <w:tcW w:type="dxa" w:w="680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等级 【Level xx】  算法 【生产 Seed-Key，不在本文给出算法细节】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禁止事项 Forbidden</w:t>
            </w:r>
          </w:p>
        </w:tc>
        <w:tc>
          <w:tcPr>
            <w:tcW w:type="dxa" w:w="680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不得用 J-Link 对已锁定样件擦写；不得将本批样件改回开发态后仍按 3-2-3 使用</w:t>
            </w:r>
          </w:p>
        </w:tc>
      </w:tr>
    </w:tbl>
    <w:p/>
    <w:p>
      <w:pPr>
        <w:pStyle w:val="Heading1"/>
      </w:pPr>
      <w:r>
        <w:rPr>
          <w:rFonts w:ascii="Calibri" w:hAnsi="Calibri" w:eastAsia="微软雅黑"/>
          <w:b/>
          <w:sz w:val="30"/>
        </w:rPr>
        <w:t>9 随附资料</w:t>
      </w:r>
      <w:r>
        <w:rPr>
          <w:rFonts w:ascii="Calibri" w:hAnsi="Calibri" w:eastAsia="微软雅黑"/>
          <w:b w:val="0"/>
          <w:color w:val="646464"/>
          <w:sz w:val="22"/>
        </w:rPr>
        <w:t xml:space="preserve">  Accompanying Materials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134"/>
            <w:shd w:val="clear" w:color="auto" w:fill="D9E2F3"/>
          </w:tcPr>
          <w:p>
            <w:r/>
            <w:r>
              <w:rPr>
                <w:rFonts w:ascii="Calibri" w:hAnsi="Calibri" w:eastAsia="微软雅黑"/>
                <w:b/>
                <w:sz w:val="18"/>
              </w:rPr>
              <w:t>编号 No.</w:t>
            </w:r>
          </w:p>
        </w:tc>
        <w:tc>
          <w:tcPr>
            <w:tcW w:type="dxa" w:w="5953"/>
            <w:shd w:val="clear" w:color="auto" w:fill="D9E2F3"/>
          </w:tcPr>
          <w:p>
            <w:r/>
            <w:r>
              <w:rPr>
                <w:rFonts w:ascii="Calibri" w:hAnsi="Calibri" w:eastAsia="微软雅黑"/>
                <w:b/>
                <w:sz w:val="18"/>
              </w:rPr>
              <w:t>资料 Material</w:t>
            </w:r>
          </w:p>
        </w:tc>
        <w:tc>
          <w:tcPr>
            <w:tcW w:type="dxa" w:w="2268"/>
            <w:shd w:val="clear" w:color="auto" w:fill="D9E2F3"/>
          </w:tcPr>
          <w:p>
            <w:r/>
            <w:r>
              <w:rPr>
                <w:rFonts w:ascii="Calibri" w:hAnsi="Calibri" w:eastAsia="微软雅黑"/>
                <w:b/>
                <w:sz w:val="18"/>
              </w:rPr>
              <w:t>有无 Provided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595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本文件《样件状态说明》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■ 是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595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发布安全检查表（FAN_F-CS-020 附录 A）已签字扫描件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□ 是  □ 否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595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上电与针脚/线束说明或接口图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□ 是  □ 否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595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UDS 服务/DID 详细列表（可与第 5.3 节合并）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□ 是  □ 否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595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软件版本说明 / Release note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□ 是  □ 否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595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JTAG 锁定验证记录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□ 是  □ 否</w:t>
            </w:r>
          </w:p>
        </w:tc>
      </w:tr>
    </w:tbl>
    <w:p/>
    <w:p>
      <w:pPr>
        <w:pStyle w:val="Heading1"/>
      </w:pPr>
      <w:r>
        <w:rPr>
          <w:rFonts w:ascii="Calibri" w:hAnsi="Calibri" w:eastAsia="微软雅黑"/>
          <w:b/>
          <w:sz w:val="30"/>
        </w:rPr>
        <w:t>10 声明</w:t>
      </w:r>
      <w:r>
        <w:rPr>
          <w:rFonts w:ascii="Calibri" w:hAnsi="Calibri" w:eastAsia="微软雅黑"/>
          <w:b w:val="0"/>
          <w:color w:val="646464"/>
          <w:sz w:val="22"/>
        </w:rPr>
        <w:t xml:space="preserve">  Declaration</w:t>
      </w:r>
    </w:p>
    <w:p>
      <w:r>
        <w:rPr>
          <w:rFonts w:ascii="Calibri" w:hAnsi="Calibri" w:eastAsia="微软雅黑"/>
          <w:b w:val="0"/>
          <w:sz w:val="21"/>
        </w:rPr>
        <w:t>本公司声明：本批 3-2-3 样件按上表所述处于连续生产状态；未在样件中保留测试账号、测试密钥、测试口令或未关闭的开发接口。若后续 TARA 确认新增中高风险项，将在约定节点更新样件状态并书面通知福田。</w:t>
      </w:r>
    </w:p>
    <w:p>
      <w:r>
        <w:rPr>
          <w:rFonts w:ascii="Calibri" w:hAnsi="Calibri" w:eastAsia="微软雅黑"/>
          <w:b w:val="0"/>
          <w:color w:val="5A5A5A"/>
          <w:sz w:val="19"/>
        </w:rPr>
        <w:t>The supplier declares that this 3-2-3 batch is in the continuous-production state described above and does not retain test accounts, test keys, test passwords or open development interfaces. If TARA confirmation adds medium/high-risk items, the sample state will be updated and Foton will be notified in writing.</w:t>
      </w:r>
    </w:p>
    <w:p>
      <w:pPr>
        <w:pStyle w:val="Heading1"/>
      </w:pPr>
      <w:r>
        <w:rPr>
          <w:rFonts w:ascii="Calibri" w:hAnsi="Calibri" w:eastAsia="微软雅黑"/>
          <w:b/>
          <w:sz w:val="30"/>
        </w:rPr>
        <w:t>11 签署</w:t>
      </w:r>
      <w:r>
        <w:rPr>
          <w:rFonts w:ascii="Calibri" w:hAnsi="Calibri" w:eastAsia="微软雅黑"/>
          <w:b w:val="0"/>
          <w:color w:val="646464"/>
          <w:sz w:val="22"/>
        </w:rPr>
        <w:t xml:space="preserve">  Signatures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551"/>
            <w:shd w:val="clear" w:color="auto" w:fill="D9E2F3"/>
          </w:tcPr>
          <w:p>
            <w:r/>
            <w:r>
              <w:rPr>
                <w:rFonts w:ascii="Calibri" w:hAnsi="Calibri" w:eastAsia="微软雅黑"/>
                <w:b/>
                <w:sz w:val="18"/>
              </w:rPr>
              <w:t>角色 Role</w:t>
            </w:r>
          </w:p>
        </w:tc>
        <w:tc>
          <w:tcPr>
            <w:tcW w:type="dxa" w:w="1984"/>
            <w:shd w:val="clear" w:color="auto" w:fill="D9E2F3"/>
          </w:tcPr>
          <w:p>
            <w:r/>
            <w:r>
              <w:rPr>
                <w:rFonts w:ascii="Calibri" w:hAnsi="Calibri" w:eastAsia="微软雅黑"/>
                <w:b/>
                <w:sz w:val="18"/>
              </w:rPr>
              <w:t>姓名 Name</w:t>
            </w:r>
          </w:p>
        </w:tc>
        <w:tc>
          <w:tcPr>
            <w:tcW w:type="dxa" w:w="2551"/>
            <w:shd w:val="clear" w:color="auto" w:fill="D9E2F3"/>
          </w:tcPr>
          <w:p>
            <w:r/>
            <w:r>
              <w:rPr>
                <w:rFonts w:ascii="Calibri" w:hAnsi="Calibri" w:eastAsia="微软雅黑"/>
                <w:b/>
                <w:sz w:val="18"/>
              </w:rPr>
              <w:t>签字 Signature</w:t>
            </w:r>
          </w:p>
        </w:tc>
        <w:tc>
          <w:tcPr>
            <w:tcW w:type="dxa" w:w="2268"/>
            <w:shd w:val="clear" w:color="auto" w:fill="D9E2F3"/>
          </w:tcPr>
          <w:p>
            <w:r/>
            <w:r>
              <w:rPr>
                <w:rFonts w:ascii="Calibri" w:hAnsi="Calibri" w:eastAsia="微软雅黑"/>
                <w:b/>
                <w:sz w:val="18"/>
              </w:rPr>
              <w:t>日期 Date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编制 Prepared</w:t>
            </w:r>
          </w:p>
        </w:tc>
        <w:tc>
          <w:tcPr>
            <w:tcW w:type="dxa" w:w="1984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【】</w:t>
            </w:r>
          </w:p>
        </w:tc>
        <w:tc>
          <w:tcPr>
            <w:tcW w:type="dxa" w:w="2551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【YYYY-MM-DD】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网络安全审核 Cybersecurity review</w:t>
            </w:r>
          </w:p>
        </w:tc>
        <w:tc>
          <w:tcPr>
            <w:tcW w:type="dxa" w:w="1984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【】</w:t>
            </w:r>
          </w:p>
        </w:tc>
        <w:tc>
          <w:tcPr>
            <w:tcW w:type="dxa" w:w="2551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【YYYY-MM-DD】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批准 Approved</w:t>
            </w:r>
          </w:p>
        </w:tc>
        <w:tc>
          <w:tcPr>
            <w:tcW w:type="dxa" w:w="1984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【】</w:t>
            </w:r>
          </w:p>
        </w:tc>
        <w:tc>
          <w:tcPr>
            <w:tcW w:type="dxa" w:w="2551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【YYYY-MM-DD】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福田接收（如需要） Foton receipt</w:t>
            </w:r>
          </w:p>
        </w:tc>
        <w:tc>
          <w:tcPr>
            <w:tcW w:type="dxa" w:w="1984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  <w:tc>
          <w:tcPr>
            <w:tcW w:type="dxa" w:w="2551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</w:tbl>
    <w:p/>
    <w:sectPr w:rsidR="00FC693F" w:rsidRPr="0006063C" w:rsidSect="00034616">
      <w:headerReference w:type="default" r:id="rId9"/>
      <w:footerReference w:type="default" r:id="rId10"/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微软雅黑"/>
        <w:b w:val="0"/>
        <w:color w:val="787878"/>
        <w:sz w:val="16"/>
      </w:rPr>
      <w:t>记录编号 Record No.: CS100120-045C    条款 Clause: CIA 3-2-3 样件提交 / Provide sample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 w:eastAsia="微软雅黑"/>
        <w:b w:val="0"/>
        <w:color w:val="787878"/>
        <w:sz w:val="16"/>
      </w:rPr>
      <w:t>【供应商公司名称 / Supplier Company Name】    FAN_F-CS-200    传播范围：非公开 / Non-public    密级：内部 / Internal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