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0"/>
        </w:rPr>
        <w:t>漏洞与安全事件管理流程</w:t>
      </w:r>
    </w:p>
    <w:p>
      <w:pPr>
        <w:jc w:val="center"/>
      </w:pPr>
      <w:r>
        <w:rPr>
          <w:rFonts w:ascii="Calibri" w:hAnsi="Calibri" w:eastAsia="微软雅黑"/>
          <w:b/>
          <w:color w:val="505050"/>
          <w:sz w:val="26"/>
        </w:rPr>
        <w:t>Vulnerability and Cybersecurity Incident Management Process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文件编号 / Doc. No.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FAN_F-CS-030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版本 / 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V1.0（模板草稿 / Template Draft）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适用产品 / Product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FAN_F 高压风扇控制器 / High-voltage Fan Controller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关联协议 / Related CIA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CIA CS100120-045C 条款 1-1-1 供应商网络安全能力证明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编制 / Prepared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审核 / Reviewed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【姓名 / 部门】    日期 Date: 【YYYY-MM-DD】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批准 / Approved by</w:t>
            </w:r>
          </w:p>
        </w:tc>
        <w:tc>
          <w:tcPr>
            <w:tcW w:type="dxa" w:w="6520"/>
          </w:tcPr>
          <w:p>
            <w:r>
              <w:rPr>
                <w:rFonts w:ascii="Calibri" w:hAnsi="Calibri" w:eastAsia="微软雅黑"/>
                <w:b w:val="0"/>
                <w:sz w:val="19"/>
              </w:rPr>
              <w:t>【总经理或管理者代表】    日期 Date: 【YYYY-MM-DD】</w:t>
            </w:r>
          </w:p>
        </w:tc>
      </w:tr>
    </w:tbl>
    <w:p/>
    <w:p>
      <w:r>
        <w:rPr>
          <w:rFonts w:ascii="Calibri" w:hAnsi="Calibri" w:eastAsia="微软雅黑"/>
          <w:b w:val="0"/>
          <w:color w:val="5A5A5A"/>
          <w:sz w:val="18"/>
        </w:rPr>
        <w:t>说明：本文件为供应商依据 ISO/IEC 27001:2022、ISO/SAE 21434:2021 及福田 CIA 要求编制的体系文件模板。【】内为待填写内容。英文为对照译文，正式交付前须经人工校对（CIA 8-3）。</w:t>
        <w:br/>
        <w:t>Note: This document is a management-system template prepared per ISO/IEC 27001:2022, ISO/SAE 21434:2021 and the Foton CIA. Text in 【】 is to be completed. English is a reference translation and must be proofread by a human before formal delivery (CIA 8-3).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 目的与范围</w:t>
      </w:r>
      <w:r>
        <w:rPr>
          <w:rFonts w:ascii="Calibri" w:hAnsi="Calibri" w:eastAsia="微软雅黑"/>
          <w:b w:val="0"/>
          <w:color w:val="646464"/>
          <w:sz w:val="22"/>
        </w:rPr>
        <w:t xml:space="preserve">  Purpose and Scope</w:t>
      </w:r>
    </w:p>
    <w:p>
      <w:r>
        <w:rPr>
          <w:rFonts w:ascii="Calibri" w:hAnsi="Calibri" w:eastAsia="微软雅黑"/>
          <w:b w:val="0"/>
          <w:sz w:val="21"/>
        </w:rPr>
        <w:t>建立汽车电控产品网络安全漏洞的监控、接收、分析、通报、修复、验证和关闭流程，以及网络安全事件的响应流程，满足 ISO/SAE 21434、UNECE R155、GB 44495 及福田 CIA（CS100120-045C）第 6 章要求。适用于公司交付的所有车用电控产品，含 FAN_F 高压风扇控制器软件及升级包。</w:t>
      </w:r>
    </w:p>
    <w:p>
      <w:r>
        <w:rPr>
          <w:rFonts w:ascii="Calibri" w:hAnsi="Calibri" w:eastAsia="微软雅黑"/>
          <w:b w:val="0"/>
          <w:color w:val="5A5A5A"/>
          <w:sz w:val="19"/>
        </w:rPr>
        <w:t>Establishes the process for monitoring, receiving, analysing, reporting, remediating, verifying and closing cybersecurity vulnerabilities, and for responding to cybersecurity incidents, per ISO/SAE 21434, UNECE R155, GB 44495 and Chapter 6 of the Foton CIA.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2 术语</w:t>
      </w:r>
      <w:r>
        <w:rPr>
          <w:rFonts w:ascii="Calibri" w:hAnsi="Calibri" w:eastAsia="微软雅黑"/>
          <w:b w:val="0"/>
          <w:color w:val="646464"/>
          <w:sz w:val="22"/>
        </w:rPr>
        <w:t xml:space="preserve"> 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术语 Term</w:t>
            </w:r>
          </w:p>
        </w:tc>
        <w:tc>
          <w:tcPr>
            <w:tcW w:type="dxa" w:w="6803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定义 Definition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 Vulnerability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产品软硬件中可被利用导致资产受损的弱点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威胁情报 Threat intelligence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与产品相关的漏洞公告、攻击手法、芯片/组件安全通告等信息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网络安全事件 Incident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漏洞已被利用或已造成/可能造成车辆功能、数据或安全影响的事件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CVSS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通用漏洞评分系统 v3.1，用于漏洞严重性分级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PSIRT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产品安全事件响应小组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3 组织与职责</w:t>
      </w:r>
      <w:r>
        <w:rPr>
          <w:rFonts w:ascii="Calibri" w:hAnsi="Calibri" w:eastAsia="微软雅黑"/>
          <w:b w:val="0"/>
          <w:color w:val="646464"/>
          <w:sz w:val="22"/>
        </w:rPr>
        <w:t xml:space="preserve">  Organization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角色 Role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职责 Responsibilities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网络安全负责人 CSO（PSIRT 组长）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流程总负责；对客户通报与协商；分级判定；资源协调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项目网络安全工程师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漏洞技术分析、影响范围评估、修复方案制定、验证报告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软件/硬件工程师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根因分析、补丁开发、回归测试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质量部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记录管理、流程审核、复盘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项目经理 / 客户接口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与福田项目组对接时间计划、样件与刷写包交付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采购部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向 Tier2 传递漏洞信息，跟踪 Tier2 修复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4 漏洞监控来源</w:t>
      </w:r>
      <w:r>
        <w:rPr>
          <w:rFonts w:ascii="Calibri" w:hAnsi="Calibri" w:eastAsia="微软雅黑"/>
          <w:b w:val="0"/>
          <w:color w:val="646464"/>
          <w:sz w:val="22"/>
        </w:rPr>
        <w:t xml:space="preserve">  Monitoring Sources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芯片厂商安全公告：NXP PSIRT（S32K1xx 系列）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公共漏洞库：NVD/CVE、CNVD、CNNVD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第三方组件与 Tier2 供应商通告（SDK、协议栈、Bootloader）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客户（福田）通报及整车渗透测试结果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内部安全测试、代码审计、静态扫描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行业组织与法规更新（R155、GB 44495）</w:t>
      </w:r>
    </w:p>
    <w:p>
      <w:r>
        <w:rPr>
          <w:rFonts w:ascii="Calibri" w:hAnsi="Calibri" w:eastAsia="微软雅黑"/>
          <w:b w:val="0"/>
          <w:sz w:val="21"/>
        </w:rPr>
        <w:t>监控频次：每周检查一次；发现相关信息 1 个工作日内登记。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5 漏洞管理流程</w:t>
      </w:r>
      <w:r>
        <w:rPr>
          <w:rFonts w:ascii="Calibri" w:hAnsi="Calibri" w:eastAsia="微软雅黑"/>
          <w:b w:val="0"/>
          <w:color w:val="646464"/>
          <w:sz w:val="22"/>
        </w:rPr>
        <w:t xml:space="preserve">  Vulnerability Management Process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步骤 Step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活动 Activity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责任 Owner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时限 Time limit</w:t>
            </w:r>
          </w:p>
        </w:tc>
        <w:tc>
          <w:tcPr>
            <w:tcW w:type="dxa" w:w="1587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输出 Output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接收与登记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从监控来源或客户接收漏洞/情报，填写漏洞登记表，分配编号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PSIRT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个工作日内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漏洞登记表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 初评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确认是否涉及本公司产品及版本；CVSS 初评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网络安全工程师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 个工作日内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初评结论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通报客户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涉及福田产品的，向福田通报漏洞信息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CSO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发现后 48 小时内（CIA 6-1-2）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漏洞通报单（公钥加密）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 分析确认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根因分析、影响范围（产品/型号/版本/车型）、可利用性、临时缓解措施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 个工作日内或按严重级别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分析报告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 修复方案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制定修复方案与计划，提交福田共同确定（CIA 6-1-3）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网络安全工程师 / CSO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按第 7 章分级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修复计划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6 修复与验证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开发补丁、回归测试、安全测试、静态扫描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按修复计划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补丁、验证报告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 发布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按《研发信息安全规定》发布刷写包；触发产品更新网络安全评估（CIA 6-2-1）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 / 项目经理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发布包、影响分析报告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8 关闭与复盘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客户确认后关闭；复盘流程与预防措施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PSIRT / 质量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关闭后 10 个工作日内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复盘记录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6 网络安全事件响应</w:t>
      </w:r>
      <w:r>
        <w:rPr>
          <w:rFonts w:ascii="Calibri" w:hAnsi="Calibri" w:eastAsia="微软雅黑"/>
          <w:b w:val="0"/>
          <w:color w:val="646464"/>
          <w:sz w:val="22"/>
        </w:rPr>
        <w:t xml:space="preserve">  Incident Response</w:t>
      </w:r>
    </w:p>
    <w:p>
      <w:r>
        <w:rPr>
          <w:rFonts w:ascii="Calibri" w:hAnsi="Calibri" w:eastAsia="微软雅黑"/>
          <w:b w:val="0"/>
          <w:sz w:val="21"/>
        </w:rPr>
        <w:t>当漏洞已被利用或导致网络安全事件时，启动事件响应：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步骤 Step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活动 Activity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时限 Time limit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上报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向福田上报导致事件的漏洞信息及事件描述（CIA 6-1-4）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24 小时内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2 遏制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提供临时缓解措施（如禁用相关服务、限制诊断访问）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立即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修复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提交修复方案，完成修复、验证，提供修复后软硬件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上报后 30 天内，或与福田协商一致的时间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 报告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提交事件描述、修复方案、验证报告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随修复交付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 法规义务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涉及数据安全事件或监管要求时，1 日内通知客户，未经同意不发布公告（CIA 8-1）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 日内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7 漏洞分级与响应时间</w:t>
      </w:r>
      <w:r>
        <w:rPr>
          <w:rFonts w:ascii="Calibri" w:hAnsi="Calibri" w:eastAsia="微软雅黑"/>
          <w:b w:val="0"/>
          <w:color w:val="646464"/>
          <w:sz w:val="22"/>
        </w:rPr>
        <w:t xml:space="preserve">  Severity and Response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等级 Level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CVSS</w:t>
            </w:r>
          </w:p>
        </w:tc>
        <w:tc>
          <w:tcPr>
            <w:tcW w:type="dxa" w:w="31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典型情形 Typical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修复方案提交 Plan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修复完成 Fix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严重 Critical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9.0–10.0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可远程通过 CAN/诊断控制风扇或刷写任意固件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3 个工作日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≤ 30 天或与客户协商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高 High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7.0–8.9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安全访问可绕过、Bootloader 校验缺陷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5 个工作日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≤ 30 天或与客户协商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中 Medium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4.0–6.9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信息泄露、拒绝服务需物理接触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10 个工作日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下一软件版本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低 Low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0.1–3.9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影响有限、利用条件苛刻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15 个工作日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计划版本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8 通报内容与加密方式</w:t>
      </w:r>
      <w:r>
        <w:rPr>
          <w:rFonts w:ascii="Calibri" w:hAnsi="Calibri" w:eastAsia="微软雅黑"/>
          <w:b w:val="0"/>
          <w:color w:val="646464"/>
          <w:sz w:val="22"/>
        </w:rPr>
        <w:t xml:space="preserve">  Report Content and Encryption</w:t>
      </w:r>
    </w:p>
    <w:p>
      <w:r>
        <w:rPr>
          <w:rFonts w:ascii="Calibri" w:hAnsi="Calibri" w:eastAsia="微软雅黑"/>
          <w:b w:val="0"/>
          <w:sz w:val="21"/>
        </w:rPr>
        <w:t>向福田通报漏洞或事件时至少包含（CIA 6-1-2）：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产品名称、型号、硬件版本、软件版本（含受影响版本范围）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漏洞技术特点（类型、触发条件、攻击向量、CVSS 评分）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危害与影响范围（功能、车型、数量估计）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临时缓解措施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修复计划或建议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供应商联系人</w:t>
      </w:r>
    </w:p>
    <w:p>
      <w:r>
        <w:rPr>
          <w:rFonts w:ascii="Calibri" w:hAnsi="Calibri" w:eastAsia="微软雅黑"/>
          <w:b w:val="0"/>
          <w:sz w:val="21"/>
        </w:rPr>
        <w:t>通报邮件发送至 ftsrc@foton.com.cn；漏洞与事件信息使用福田提供的公钥（CIA 附件 A1）加密后传输；其他资料可使用口令保护压缩包（CIA 1-2-1）。</w:t>
      </w:r>
    </w:p>
    <w:p>
      <w:r>
        <w:rPr>
          <w:rFonts w:ascii="Calibri" w:hAnsi="Calibri" w:eastAsia="微软雅黑"/>
          <w:b w:val="0"/>
          <w:color w:val="5A5A5A"/>
          <w:sz w:val="19"/>
        </w:rPr>
        <w:t>Reports are sent to ftsrc@foton.com.cn; vulnerability and incident information is encrypted with the Foton public key (CIA Annex A1).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9 补丁与版本管理</w:t>
      </w:r>
      <w:r>
        <w:rPr>
          <w:rFonts w:ascii="Calibri" w:hAnsi="Calibri" w:eastAsia="微软雅黑"/>
          <w:b w:val="0"/>
          <w:color w:val="646464"/>
          <w:sz w:val="22"/>
        </w:rPr>
        <w:t xml:space="preserve">  Patch and Version Management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补丁版本按公司版本规则升级，发布说明标注修复的漏洞编号。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补丁发布前完成产品更新网络安全评估与影响分析，并在 5 天内通知福田（CIA 6-2-1）。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刷写包签名/校验和、版本一致性核对按《研发信息安全规定》执行。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涉及 Tier2 组件的漏洞，采购部同步向 Tier2 传递并跟踪其修复。</w:t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10 记录与保存</w:t>
      </w:r>
      <w:r>
        <w:rPr>
          <w:rFonts w:ascii="Calibri" w:hAnsi="Calibri" w:eastAsia="微软雅黑"/>
          <w:b w:val="0"/>
          <w:color w:val="646464"/>
          <w:sz w:val="22"/>
        </w:rPr>
        <w:t xml:space="preserve">  Records and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记录 Record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责任 Owner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保存期限 Retention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漏洞登记表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PSIRT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车型停产后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漏洞通报单、事件报告单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CSO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车型停产后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修复计划、验证报告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研发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车型停产后 10 年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复盘记录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质量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车型停产后 10 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附录 A 漏洞登记表</w:t>
      </w:r>
      <w:r>
        <w:rPr>
          <w:rFonts w:ascii="Calibri" w:hAnsi="Calibri" w:eastAsia="微软雅黑"/>
          <w:b w:val="0"/>
          <w:color w:val="646464"/>
          <w:sz w:val="22"/>
        </w:rPr>
        <w:t xml:space="preserve">  Annex A  Vulnerability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编号 ID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来源 Source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发现日期 Found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产品/版本 Product/Ver.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描述 Description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CVSS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等级 Level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客户通报日期 Reported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状态 Status</w:t>
            </w:r>
          </w:p>
        </w:tc>
        <w:tc>
          <w:tcPr>
            <w:tcW w:type="dxa" w:w="975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关闭日期 Closed</w:t>
            </w:r>
          </w:p>
        </w:tc>
      </w:tr>
      <w:tr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VUL-2025-001</w:t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 / SW【】</w:t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  <w:tc>
          <w:tcPr>
            <w:tcW w:type="dxa" w:w="975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附录 B 漏洞通报单模板</w:t>
      </w:r>
      <w:r>
        <w:rPr>
          <w:rFonts w:ascii="Calibri" w:hAnsi="Calibri" w:eastAsia="微软雅黑"/>
          <w:b w:val="0"/>
          <w:color w:val="646464"/>
          <w:sz w:val="22"/>
        </w:rPr>
        <w:t xml:space="preserve">  Annex B  Vulnerability Notification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字段 Field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内容 Content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通报编号 Notification No.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VUL-YYYY-NNN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通报日期 Date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供应商 / 联系人 Supplier / Contact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【供应商公司名称 / Supplier Company Name】 / 【姓名、电话、邮箱】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产品名称 / 型号 Product / Model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FAN_F 高压风扇控制器 / 【零件号】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受影响硬件版本 HW version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受影响软件版本 SW version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漏洞类型与技术特点 Type &amp; technical characteristics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触发条件 / 攻击向量 Preconditions / attack vector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CVSS 评分与等级 CVSS &amp; level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危害与影响范围 Impact &amp; scope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临时缓解措施 Interim mitigation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修复计划 Remediation plan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加密方式 Encryption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福田公钥加密 / Foton public key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附录 C 网络安全事件报告单模板</w:t>
      </w:r>
      <w:r>
        <w:rPr>
          <w:rFonts w:ascii="Calibri" w:hAnsi="Calibri" w:eastAsia="微软雅黑"/>
          <w:b w:val="0"/>
          <w:color w:val="646464"/>
          <w:sz w:val="22"/>
        </w:rPr>
        <w:t xml:space="preserve">  Annex C  Cybersecurity Incident Report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字段 Field</w:t>
            </w:r>
          </w:p>
        </w:tc>
        <w:tc>
          <w:tcPr>
            <w:tcW w:type="dxa" w:w="5953"/>
            <w:shd w:val="clear" w:color="auto" w:fill="D9E2F3"/>
          </w:tcPr>
          <w:p>
            <w:r/>
            <w:r>
              <w:rPr>
                <w:rFonts w:ascii="Calibri" w:hAnsi="Calibri" w:eastAsia="微软雅黑"/>
                <w:b/>
                <w:sz w:val="18"/>
              </w:rPr>
              <w:t>内容 Content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事件编号 Incident No.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INC-YYYY-NNN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发现时间 / 上报时间 Detected / Reported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（上报须在 24 小时内）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事件描述 Description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关联漏洞编号 Related vulnerability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受影响产品/版本/车辆范围 Affected products / versions / vehicles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已采取的遏制措施 Containment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修复方案与计划 Remediation plan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（30 天内完成或与福田协商）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验证报告 Verification report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修复后软硬件交付 Fixed SW/HW delivery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  <w:t>复盘与预防措施 Lessons learned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 w:eastAsia="微软雅黑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b/>
          <w:color w:val="000000"/>
          <w:sz w:val="30"/>
        </w:rPr>
        <w:t>附录 D 流程图（文字版）</w:t>
      </w:r>
      <w:r>
        <w:rPr>
          <w:rFonts w:ascii="Calibri" w:hAnsi="Calibri" w:eastAsia="微软雅黑"/>
          <w:b w:val="0"/>
          <w:color w:val="646464"/>
          <w:sz w:val="22"/>
        </w:rPr>
        <w:t xml:space="preserve">  Annex D  Process Flow (text)</w:t>
      </w:r>
    </w:p>
    <w:p>
      <w:r>
        <w:rPr>
          <w:rFonts w:ascii="Calibri" w:hAnsi="Calibri" w:eastAsia="微软雅黑"/>
          <w:b w:val="0"/>
          <w:sz w:val="21"/>
        </w:rPr>
        <w:t>监控/接收 → 登记（1 工作日） → 初评 CVSS（2 工作日） → 通报福田（48 h，公钥加密） → 分析确认 → 修复方案（按分级）→ 与福田共同确定 → 修复与验证 → 产品更新影响评估（5 天内通知）→ 发布补丁 → 福田确认关闭 → 复盘</w:t>
        <w:br/>
        <w:t>事件分支：发现利用/事件 → 24 h 上报 → 遏制 → 30 天内修复 → 事件描述/修复方案/验证报告交付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color w:val="787878"/>
        <w:sz w:val="16"/>
      </w:rPr>
      <w:t>记录编号 Record No.: CS100120-045C    敏感级别 Confidentiality: 普通商密 / Ordinary Commercial Secret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/>
        <w:b w:val="0"/>
        <w:color w:val="787878"/>
        <w:sz w:val="16"/>
      </w:rPr>
      <w:t>【供应商公司名称 / Supplier Company Name】    FAN_F-CS-030    传播范围：非公开 / Non-public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