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会议纪要</w:t>
      </w:r>
    </w:p>
    <w:p>
      <w:r>
        <w:rPr>
          <w:rFonts w:ascii="宋体" w:hAnsi="宋体" w:eastAsia="宋体"/>
          <w:b w:val="0"/>
          <w:sz w:val="18"/>
        </w:rPr>
        <w:t>来源：case4.txt ｜ 解析发言 0 条（决议 0 · 待办 0 · 风险 0）</w:t>
      </w:r>
    </w:p>
    <w:p>
      <w:r>
        <w:rPr>
          <w:rFonts w:ascii="宋体" w:hAnsi="宋体" w:eastAsia="宋体"/>
          <w:b/>
          <w:sz w:val="28"/>
        </w:rPr>
        <w:t>一、决议事项</w:t>
      </w:r>
    </w:p>
    <w:p>
      <w:r>
        <w:rPr>
          <w:rFonts w:ascii="宋体" w:hAnsi="宋体" w:eastAsia="宋体"/>
          <w:b/>
          <w:sz w:val="28"/>
        </w:rPr>
        <w:t>二、待办事项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2"/>
              </w:rPr>
              <w:t>事项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2"/>
              </w:rPr>
              <w:t>负责人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b/>
                <w:sz w:val="22"/>
              </w:rPr>
              <w:t>期限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三、风险与关注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