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来源：t4-input.txt ｜ 解析发言 6 条（决议 3 · 待办 2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【13:06 · 厂长】贵就贵吧，改空运，就这么决定了，费用从模具预算出。</w:t>
      </w:r>
    </w:p>
    <w:p>
      <w:r>
        <w:rPr>
          <w:rFonts w:ascii="宋体" w:hAnsi="宋体" w:eastAsia="宋体"/>
          <w:b w:val="0"/>
        </w:rPr>
        <w:t>2. 【13:09 · 质检方主任】就议定下来，周五前出首批报告。</w:t>
      </w:r>
    </w:p>
    <w:p>
      <w:r>
        <w:rPr>
          <w:rFonts w:ascii="宋体" w:hAnsi="宋体" w:eastAsia="宋体"/>
          <w:b w:val="0"/>
        </w:rPr>
        <w:t>3. 【13:11 · 厂长】结论：修模期间2号产线临时转产老型号。散会。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试模尺寸超差零点零二毫米，需要修模，10月18日之前完成复检。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10月18日之前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新批次抽检方案有疑问，我们需要按欧盟标准重新送检。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【13:04 · 采购吕经理】钢料海运要走二十天，如果赶不上，试产整体存在延期的风险。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