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>
      <w:pPr>
        <w:ind w:firstLine="520"/>
      </w:pPr>
      <w:r>
        <w:t>部门：运营部</w:t>
      </w:r>
    </w:p>
    <w:p>
      <w:pPr>
        <w:ind w:firstLine="520"/>
      </w:pPr>
      <w:r>
        <w:t>周期：2026年10月第2周</w:t>
      </w:r>
    </w:p>
    <w:p>
      <w:pPr>
        <w:ind w:firstLine="520"/>
      </w:pPr>
      <w:r>
        <w:t>本周工作内容：望舒客服工作台一期联调完成，压测通过率99.2%，遗留问题3个已登记</w:t>
      </w:r>
    </w:p>
    <w:p>
      <w:pPr>
        <w:ind w:firstLine="520"/>
      </w:pPr>
      <w:r>
        <w:t>下周工作计划：启动望舒客服工作台灰度放量，并完成数据口径核对</w:t>
      </w:r>
    </w:p>
    <w:p>
      <w:pPr>
        <w:ind w:firstLine="520"/>
      </w:pPr>
      <w:r>
        <w:t>问题与需协调事项：需要综合办协调测试环境两台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