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 w:line="700" w:lineRule="exact"/>
        <w:jc w:val="center"/>
      </w:pPr>
      <w:r>
        <w:rPr>
          <w:rFonts w:ascii="Times New Roman" w:hAnsi="Times New Roman" w:eastAsia="宋体"/>
          <w:b w:val="0"/>
          <w:sz w:val="44"/>
        </w:rPr>
        <w:t>研发部工作周报</w:t>
      </w:r>
    </w:p>
    <w:p>
      <w:pPr>
        <w:spacing w:before="0" w:after="120" w:line="576" w:lineRule="exact"/>
        <w:jc w:val="center"/>
      </w:pPr>
      <w:r>
        <w:rPr>
          <w:rFonts w:ascii="Times New Roman" w:hAnsi="Times New Roman" w:eastAsia="仿宋"/>
          <w:b w:val="0"/>
          <w:sz w:val="32"/>
        </w:rPr>
        <w:t>（2026-09-21 至 2026-09-27）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填报人：王小明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一、本周工作内容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1. 完成打分器 v0.9 与评测台联调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2. 修复评测集 3 处标注不一致问题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二、下周工作计划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1. 启动回归测试全量跑批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2. 输出周度质量报告初稿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三、问题与需协调事项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1. 测试机资源紧张，需协调一台 GPU 机器</w:t>
      </w:r>
    </w:p>
    <w:p>
      <w:pPr>
        <w:spacing w:before="560" w:after="0" w:line="576" w:lineRule="exact"/>
        <w:jc w:val="right"/>
      </w:pPr>
      <w:r>
        <w:rPr>
          <w:rFonts w:ascii="Times New Roman" w:hAnsi="Times New Roman" w:eastAsia="仿宋"/>
          <w:b w:val="0"/>
          <w:sz w:val="32"/>
        </w:rPr>
        <w:t>报送日期：2026-09-28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280"/>
      <w:jc w:val="right"/>
    </w:pPr>
    <w:r>
      <w:rPr>
        <w:rFonts w:ascii="Times New Roman" w:hAnsi="Times New Roman" w:eastAsia="宋体"/>
        <w:b w:val="0"/>
        <w:sz w:val="28"/>
      </w:rPr>
      <w:t xml:space="preserve">— </w:t>
    </w:r>
    <w:fldSimple w:instr=" PAGE \* MERGEFORMAT ">
      <w:r>
        <w:rPr>
          <w:rFonts w:eastAsia="宋体" w:ascii="Times New Roman" w:hAnsi="Times New Roman"/>
          <w:sz w:val="28"/>
        </w:rPr>
        <w:t>1</w:t>
      </w:r>
    </w:fldSimple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研发部工作周报</dc:title>
  <dc:subject/>
  <dc:creator>公文生成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