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680" w:lineRule="exact"/>
        <w:jc w:val="center"/>
      </w:pPr>
      <w:r>
        <w:rPr>
          <w:rFonts w:ascii="黑体" w:hAnsi="黑体" w:eastAsia="黑体"/>
          <w:b/>
          <w:sz w:val="44"/>
        </w:rPr>
        <w:t>屿光咖啡品控组周报</w:t>
      </w:r>
    </w:p>
    <w:p>
      <w:pPr>
        <w:spacing w:after="280" w:line="520" w:lineRule="exact"/>
        <w:jc w:val="center"/>
      </w:pPr>
      <w:r>
        <w:rPr>
          <w:rFonts w:ascii="黑体" w:hAnsi="黑体" w:eastAsia="黑体"/>
          <w:b w:val="0"/>
          <w:sz w:val="32"/>
        </w:rPr>
        <w:t>（2026年10月5日—2026年10月11日）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val="clear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填报部门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屿光咖啡品控组</w:t>
            </w:r>
          </w:p>
        </w:tc>
      </w:tr>
      <w:tr>
        <w:tc>
          <w:tcPr>
            <w:tcW w:type="dxa" w:w="1701"/>
            <w:shd w:val="clear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报告周期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2026年10月5日—2026年10月11日（推导值，待确认）</w:t>
            </w:r>
          </w:p>
        </w:tc>
      </w:tr>
      <w:tr>
        <w:tc>
          <w:tcPr>
            <w:tcW w:type="dxa" w:w="1701"/>
            <w:shd w:val="clear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成文日期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2026年10月9日</w:t>
            </w:r>
          </w:p>
        </w:tc>
      </w:tr>
      <w:tr>
        <w:tc>
          <w:tcPr>
            <w:tcW w:type="dxa" w:w="1701"/>
            <w:shd w:val="clear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数据来源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yuguang_q3.json（季度工作总结口径）</w:t>
            </w:r>
          </w:p>
        </w:tc>
      </w:tr>
    </w:tbl>
    <w:p>
      <w:pPr>
        <w:spacing w:after="160" w:line="200" w:lineRule="exact"/>
      </w:pPr>
    </w:p>
    <w:p>
      <w:pPr>
        <w:spacing w:after="80" w:line="520" w:lineRule="exact"/>
        <w:shd w:val="clear" w:fill="FFF3CD"/>
      </w:pPr>
      <w:r>
        <w:rPr>
          <w:rFonts w:ascii="黑体" w:hAnsi="黑体" w:eastAsia="黑体"/>
          <w:b/>
          <w:color w:val="B00000"/>
          <w:sz w:val="28"/>
        </w:rPr>
        <w:t>【数据口径提示】</w:t>
      </w:r>
    </w:p>
    <w:p>
      <w:pPr>
        <w:spacing w:line="480" w:lineRule="exact" w:after="200"/>
        <w:ind w:firstLine="480"/>
        <w:shd w:val="clear" w:fill="FFF9E6"/>
      </w:pPr>
      <w:r>
        <w:rPr>
          <w:rFonts w:ascii="仿宋_GB2312" w:hAnsi="仿宋_GB2312" w:eastAsia="仿宋_GB2312"/>
          <w:b w:val="0"/>
          <w:sz w:val="24"/>
        </w:rPr>
        <w:t>本期源数据为2026年第三季度汇总口径，统计区间为 2026年7月1日至9月30日；而周报目标周期为2026年10月5日（周一）至2026年10月11日（周日），成文日期2026年10月9日距季度结束已逾 9 天，两区间无任何重叠。因此源数据中的杯测场次、客诉单量、闭环率等指标均属季度累计值，无法折算或拆分成本周发生额。本报告据此处理：可确证的内容一律保留原始季度口径并显式标注；本周发生额一栏不作推测填写。</w:t>
      </w:r>
    </w:p>
    <w:p>
      <w:pPr>
        <w:spacing w:after="120" w:line="576" w:lineRule="exact"/>
      </w:pPr>
      <w:r>
        <w:rPr>
          <w:rFonts w:ascii="黑体" w:hAnsi="黑体" w:eastAsia="黑体"/>
          <w:b/>
          <w:sz w:val="32"/>
        </w:rPr>
        <w:t>一、本周工作完成情况</w:t>
      </w:r>
    </w:p>
    <w:p>
      <w:pPr>
        <w:spacing w:after="80" w:line="576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本周（2026年10月5日—2026年10月11日）实际发生的杯测场次、客诉工单受理量、闭环率变动等发生额数据，源数据中无对应记录，留待品控组据实补报后填入。</w:t>
      </w:r>
    </w:p>
    <w:p>
      <w:pPr>
        <w:spacing w:after="200" w:line="576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待补字段：① 本周完成杯测场次；② 本周处理客诉工单数；③ 本周客诉 48 小时闭环率；④ 本周新增问题（如无，请填“无”）。</w:t>
      </w:r>
    </w:p>
    <w:p>
      <w:pPr>
        <w:spacing w:after="120" w:line="576" w:lineRule="exact"/>
      </w:pPr>
      <w:r>
        <w:rPr>
          <w:rFonts w:ascii="黑体" w:hAnsi="黑体" w:eastAsia="黑体"/>
          <w:b/>
          <w:sz w:val="32"/>
        </w:rPr>
        <w:t>二、季度数据回溯（2026年第三季度口径，非本周发生额）</w:t>
      </w:r>
    </w:p>
    <w:p>
      <w:pPr>
        <w:spacing w:after="80" w:line="576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1. 完成季度杯测 36 场。</w:t>
      </w:r>
    </w:p>
    <w:p>
      <w:pPr>
        <w:spacing w:after="80" w:line="576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2. 处理客诉工单 58 单。</w:t>
      </w:r>
    </w:p>
    <w:p>
      <w:pPr>
        <w:spacing w:after="80" w:line="576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3. 客诉 48 小时闭环率提升至 92%。</w:t>
      </w:r>
    </w:p>
    <w:p>
      <w:pPr>
        <w:spacing w:after="200" w:line="576" w:lineRule="exact"/>
        <w:ind w:firstLine="480"/>
      </w:pPr>
      <w:r>
        <w:rPr>
          <w:rFonts w:ascii="仿宋_GB2312" w:hAnsi="仿宋_GB2312" w:eastAsia="仿宋_GB2312"/>
          <w:b w:val="0"/>
          <w:sz w:val="24"/>
        </w:rPr>
        <w:t>注：上述各项为第三季度累计值，仅作口径回溯参考，不得作为本周工作量的填报依据。</w:t>
      </w:r>
    </w:p>
    <w:p>
      <w:pPr>
        <w:spacing w:after="120" w:line="576" w:lineRule="exact"/>
      </w:pPr>
      <w:r>
        <w:rPr>
          <w:rFonts w:ascii="黑体" w:hAnsi="黑体" w:eastAsia="黑体"/>
          <w:b/>
          <w:sz w:val="32"/>
        </w:rPr>
        <w:t>三、本周关注事项</w:t>
      </w:r>
    </w:p>
    <w:p>
      <w:pPr>
        <w:spacing w:after="80" w:line="576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1. 偏远门店物流损耗偏高（第三季度已识别的持续性问题，本周延续跟进）。</w:t>
      </w:r>
    </w:p>
    <w:p>
      <w:pPr>
        <w:spacing w:after="200" w:line="576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本周是否新增问题，源数据未记录，待补充。</w:t>
      </w:r>
    </w:p>
    <w:p>
      <w:pPr>
        <w:spacing w:after="120" w:line="576" w:lineRule="exact"/>
      </w:pPr>
      <w:r>
        <w:rPr>
          <w:rFonts w:ascii="黑体" w:hAnsi="黑体" w:eastAsia="黑体"/>
          <w:b/>
          <w:sz w:val="32"/>
        </w:rPr>
        <w:t>四、下周工作计划</w:t>
      </w:r>
    </w:p>
    <w:p>
      <w:pPr>
        <w:spacing w:after="200" w:line="576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1. 引入损耗周报机制——该项为第三季度既定计划，其在本周的实际推进进度源数据未记录，待补充。</w:t>
      </w:r>
    </w:p>
    <w:p>
      <w:pPr>
        <w:spacing w:after="120" w:line="576" w:lineRule="exact"/>
      </w:pPr>
      <w:r>
        <w:rPr>
          <w:rFonts w:ascii="黑体" w:hAnsi="黑体" w:eastAsia="黑体"/>
          <w:b/>
          <w:sz w:val="32"/>
        </w:rPr>
        <w:t>五、字段对照与待补清单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rPr>
          <w:tblHeader/>
          <w:cantSplit/>
        </w:trPr>
        <w:tc>
          <w:tcPr>
            <w:tcW w:type="dxa" w:w="1814"/>
            <w:shd w:val="clear" w:fill="E8E8E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周报字段</w:t>
            </w:r>
          </w:p>
        </w:tc>
        <w:tc>
          <w:tcPr>
            <w:tcW w:type="dxa" w:w="2608"/>
            <w:shd w:val="clear" w:fill="E8E8E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取值</w:t>
            </w:r>
          </w:p>
        </w:tc>
        <w:tc>
          <w:tcPr>
            <w:tcW w:type="dxa" w:w="1474"/>
            <w:shd w:val="clear" w:fill="E8E8E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状态</w:t>
            </w:r>
          </w:p>
        </w:tc>
        <w:tc>
          <w:tcPr>
            <w:tcW w:type="dxa" w:w="3061"/>
            <w:shd w:val="clear" w:fill="E8E8E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来源 / 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报告标题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屿光咖啡品控组周报（2026年10月5日—2026年10月11日）</w:t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sz w:val="18"/>
              </w:rPr>
              <w:t>推导-待确认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主体为直接对应；周区间为推导值，须经填报人确认后定稿。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填报部门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屿光咖啡品控组</w:t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sz w:val="18"/>
              </w:rPr>
              <w:t>直接对应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原样映射，无歧义。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报告周期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2026年10月5日—2026年10月11日，推导值待确认</w:t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sz w:val="18"/>
              </w:rPr>
              <w:t>推导-待确认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源数据仅有季度区间，无周区间。若实际周报周期非此区间，须整体替换。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成文日期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2026年10月9日</w:t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sz w:val="18"/>
              </w:rPr>
              <w:t>直接对应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原样映射。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本周工作完成情况（本周发生额）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（待补）</w:t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color w:val="B00000"/>
                <w:sz w:val="18"/>
              </w:rPr>
              <w:t>无数据源-待补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源数据“完成季度杯测 36 场”“处理客诉工单 58 单”为季度累计，不等于本周发生额。按 92 天均摊会得出无统计依据的数值，故留空待业务据实填报。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季度数据回溯（可确证）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完成季度杯测 36 场；处理客诉工单 58 单；客诉 48 小时闭环率提升至 92%</w:t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sz w:val="18"/>
              </w:rPr>
              <w:t>直接对应-口径降级回溯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内容真实可核，但作用域为季度。在周报中作为“季度数据回溯”小节呈现，已在正文中显式标注季度口径。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主要成绩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sz w:val="18"/>
              </w:rPr>
              <w:t>直接对应-口径降级回溯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“客诉 48 小时闭环率提升至 92%”为季度末状态值，非本周改善幅度，作为季度成果回溯列示。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存在问题 / 本周关注事项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偏远门店物流损耗偏高</w:t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sz w:val="18"/>
              </w:rPr>
              <w:t>直接对应-口径降级回溯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“偏远门店物流损耗偏高”为跨季度持续状态问题，在周报“本周关注事项”中延续列示，不表述为本周新增问题。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下一步工作打算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引入损耗周报机制</w:t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sz w:val="18"/>
              </w:rPr>
              <w:t>直接对应-口径降级回溯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季度计划项，语义上可承接为后续跟进事项，但“引入”的时间点与本周推进状态未知，已标注。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填报人 / 联系人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（待补）</w:t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color w:val="B00000"/>
                <w:sz w:val="18"/>
              </w:rPr>
              <w:t>无数据源-待补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源数据未提供，须由业务补充。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本周新增问题</w:t>
            </w:r>
          </w:p>
        </w:tc>
        <w:tc>
          <w:tcPr>
            <w:tcW w:type="dxa" w:w="2608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/>
                <w:color w:val="B00000"/>
                <w:sz w:val="18"/>
              </w:rPr>
              <w:t>无数据源-待补</w:t>
            </w:r>
          </w:p>
        </w:tc>
        <w:tc>
          <w:tcPr>
            <w:tcW w:type="dxa" w:w="3061"/>
          </w:tcPr>
          <w:p>
            <w:pPr>
              <w:spacing w:line="280" w:lineRule="exact"/>
            </w:pPr>
            <w:r/>
            <w:r>
              <w:rPr>
                <w:rFonts w:ascii="宋体" w:hAnsi="宋体" w:eastAsia="宋体"/>
                <w:b w:val="0"/>
                <w:sz w:val="18"/>
              </w:rPr>
              <w:t>源数据仅含季度层面的问题清单，无本周新增问题记录。</w:t>
            </w:r>
          </w:p>
        </w:tc>
      </w:tr>
    </w:tbl>
    <w:p>
      <w:pPr>
        <w:spacing w:after="120" w:line="200" w:lineRule="exact"/>
      </w:pPr>
    </w:p>
    <w:p>
      <w:pPr>
        <w:spacing w:after="0" w:line="576" w:lineRule="exact"/>
      </w:pPr>
      <w:r>
        <w:rPr>
          <w:rFonts w:ascii="宋体" w:hAnsi="宋体" w:eastAsia="宋体"/>
          <w:b w:val="0"/>
          <w:sz w:val="24"/>
        </w:rPr>
        <w:t>填报人签字：＿＿＿＿＿＿　　复核：＿＿＿＿＿＿　　日期：＿＿＿＿＿＿</w:t>
      </w:r>
    </w:p>
    <w:sectPr w:rsidR="00FC693F" w:rsidRPr="0006063C" w:rsidSect="00034616">
      <w:pgSz w:w="12240" w:h="15840"/>
      <w:pgMar w:top="1701" w:right="1587" w:bottom="170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