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 w:val="0"/>
          <w:sz w:val="44"/>
        </w:rPr>
        <w:t>合成部门工作周报</w:t>
      </w:r>
    </w:p>
    <w:p>
      <w:pPr>
        <w:spacing w:line="560" w:lineRule="exact" w:before="0" w:after="0"/>
        <w:jc w:val="center"/>
      </w:pPr>
      <w:r>
        <w:rPr>
          <w:rFonts w:ascii="Times New Roman" w:hAnsi="Times New Roman" w:eastAsia="仿宋"/>
          <w:b w:val="0"/>
          <w:sz w:val="32"/>
        </w:rPr>
        <w:t>填报人：合成填报人　　部门：合成部门　　周期：2026-09-21 至 2026-09-27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一、本周工作内容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1．合成本周一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二、下周工作计划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1．合成下周一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三、问题与需协调事项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1．合成协调一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报送日期：2026-09-28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