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Note"/>
      </w:pPr>
      <w:r>
        <w:t>ENGINE REFERENCE  •  REVIEW COPY</w:t>
      </w:r>
    </w:p>
    <w:p>
      <w:pPr>
        <w:pStyle w:val="Title"/>
      </w:pPr>
      <w:r>
        <w:t>DOCX table configurations</w:t>
      </w:r>
    </w:p>
    <w:p>
      <w:pPr>
        <w:pStyle w:val="Subtitle"/>
      </w:pPr>
      <w:r>
        <w:t>Before PR #1876, corrected local behavior, and compatibility notes</w:t>
      </w:r>
    </w:p>
    <w:p>
      <w:pPr>
        <w:pStyle w:val="SmallNote"/>
      </w:pPr>
      <w:r>
        <w:t>3 October 2026  |  feathery-react  |  PR #1876</w:t>
      </w:r>
    </w:p>
    <w:p>
      <w:pPr>
        <w:pStyle w:val="SmallNote"/>
      </w:pPr>
      <w:r>
        <w:rPr>
          <w:b/>
          <w:color w:val="1F4D78"/>
        </w:rPr>
        <w:t xml:space="preserve">Scope  </w:t>
      </w:r>
      <w:r>
        <w:t>“Before” means the PR merge base (master at 0b5bd0cb). “New” means the local mirror branch with the reviewed fixes. This is a reference to implemented DOCX binding behavior, not every possible Word table feature.</w:t>
      </w:r>
    </w:p>
    <w:p>
      <w:pPr>
        <w:pStyle w:val="Heading1"/>
        <w:keepNext/>
      </w:pPr>
      <w:r>
        <w:t>1  Building blocks</w:t>
      </w:r>
    </w:p>
    <w:p>
      <w:pPr/>
      <w:r>
        <w:t>Put a table marker immediately before a Word table. Import turns row=auto into a distinct row identity for each authored data row. Row fields are document-local unless separately linked through another feature.</w:t>
      </w:r>
    </w:p>
    <w:p>
      <w:pPr/>
      <w:r>
        <w:t>Author by typing complete [[...]] tokens in cells, or by placing the same tag on an existing Word plain-text content control. In the second form, the control’s text is its current value. A table without a table marker stays an ordinary Word table; its plain cells are not given row bindings by this feature.</w:t>
      </w:r>
    </w:p>
    <w:p>
      <w:pPr>
        <w:pStyle w:val="Code"/>
        <w:shd w:fill="F4F6F9"/>
      </w:pPr>
      <w:r>
        <w:rPr>
          <w:rFonts w:ascii="Consolas" w:hAnsi="Consolas"/>
        </w:rPr>
        <w:t>[[table=items]]</w:t>
      </w:r>
    </w:p>
    <w:p>
      <w:pPr>
        <w:pStyle w:val="Code"/>
        <w:shd w:fill="F4F6F9"/>
      </w:pPr>
      <w:r>
        <w:rPr>
          <w:rFonts w:ascii="Consolas" w:hAnsi="Consolas"/>
        </w:rPr>
        <w:t>[[name=quantity|type=integer|value=12|default=1|row=auto]]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3970"/>
        <w:gridCol w:w="379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Setting</w:t>
            </w:r>
          </w:p>
        </w:tc>
        <w:tc>
          <w:tcPr>
            <w:tcW w:type="dxa" w:w="397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What it controls</w:t>
            </w:r>
          </w:p>
        </w:tc>
        <w:tc>
          <w:tcPr>
            <w:tcW w:type="dxa" w:w="37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Before / new</w:t>
            </w:r>
          </w:p>
        </w:tc>
      </w:tr>
      <w:tr>
        <w:trPr/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table=id</w:t>
            </w:r>
          </w:p>
        </w:tc>
        <w:tc>
          <w:tcPr>
            <w:tcW w:type="dxa" w:w="39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Names a configured table. Distinct IDs are required.</w:t>
            </w:r>
          </w:p>
        </w:tc>
        <w:tc>
          <w:tcPr>
            <w:tcW w:type="dxa" w:w="3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Same. Needed for row bindings and named column totals.</w:t>
            </w:r>
          </w:p>
        </w:tc>
      </w:tr>
      <w:tr>
        <w:trPr/>
        <w:tc>
          <w:tcPr>
            <w:tcW w:type="dxa" w:w="16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name + row=auto</w:t>
            </w:r>
          </w:p>
        </w:tc>
        <w:tc>
          <w:tcPr>
            <w:tcW w:type="dxa" w:w="397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Editable field in one data row.</w:t>
            </w:r>
          </w:p>
        </w:tc>
        <w:tc>
          <w:tcPr>
            <w:tcW w:type="dxa" w:w="379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Same; newly inserted rows are now attributed and reconciled immediately.</w:t>
            </w:r>
          </w:p>
        </w:tc>
      </w:tr>
      <w:tr>
        <w:trPr/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type</w:t>
            </w:r>
          </w:p>
        </w:tc>
        <w:tc>
          <w:tcPr>
            <w:tcW w:type="dxa" w:w="39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text, integer, decimal, currency, percent, date, boolean.</w:t>
            </w:r>
          </w:p>
        </w:tc>
        <w:tc>
          <w:tcPr>
            <w:tcW w:type="dxa" w:w="3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Same type parser; undeclared boolean now starts false instead of invalid blank.</w:t>
            </w:r>
          </w:p>
        </w:tc>
      </w:tr>
      <w:tr>
        <w:trPr/>
        <w:tc>
          <w:tcPr>
            <w:tcW w:type="dxa" w:w="16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value / default</w:t>
            </w:r>
          </w:p>
        </w:tc>
        <w:tc>
          <w:tcPr>
            <w:tcW w:type="dxa" w:w="397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value belongs to this occurrence; default seeds new row.</w:t>
            </w:r>
          </w:p>
        </w:tc>
        <w:tc>
          <w:tcPr>
            <w:tcW w:type="dxa" w:w="379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Same documented rule: value=12, default=1 → original 12, new 1.</w:t>
            </w:r>
          </w:p>
        </w:tc>
      </w:tr>
      <w:tr>
        <w:trPr/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expr</w:t>
            </w:r>
          </w:p>
        </w:tc>
        <w:tc>
          <w:tcPr>
            <w:tcW w:type="dxa" w:w="39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Locked formula cell; functions are mul, sum, sub.</w:t>
            </w:r>
          </w:p>
        </w:tc>
        <w:tc>
          <w:tcPr>
            <w:tcW w:type="dxa" w:w="3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Existing calls stay valid; bare references and positional syntax are added.</w:t>
            </w:r>
          </w:p>
        </w:tc>
      </w:tr>
      <w:tr>
        <w:trPr/>
        <w:tc>
          <w:tcPr>
            <w:tcW w:type="dxa" w:w="16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global / del / label</w:t>
            </w:r>
          </w:p>
        </w:tc>
        <w:tc>
          <w:tcPr>
            <w:tcW w:type="dxa" w:w="397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Shared document occurrence, delete policy, display label.</w:t>
            </w:r>
          </w:p>
        </w:tc>
        <w:tc>
          <w:tcPr>
            <w:tcW w:type="dxa" w:w="379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Outside the new range engine; existing tag semantics continue.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b/>
          <w:color w:val="1F4D78"/>
        </w:rPr>
        <w:t xml:space="preserve">Generated data  </w:t>
      </w:r>
      <w:r>
        <w:t>For row-specific generated values, use value=. A generated document that puts each row’s data only in default= is ambiguous: the editor must also treat default= as the author’s new-row setting.</w:t>
      </w:r>
    </w:p>
    <w:p>
      <w:pPr>
        <w:pStyle w:val="SmallNote"/>
      </w:pPr>
      <w:r>
        <w:rPr>
          <w:b/>
        </w:rPr>
        <w:t>Your comments on setup and defaults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Heading1"/>
        <w:keepNext/>
      </w:pPr>
      <w:r>
        <w:t>2  Formula and reference choices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2500"/>
        <w:gridCol w:w="2500"/>
        <w:gridCol w:w="2810"/>
      </w:tblGrid>
      <w:tr>
        <w:trPr>
          <w:tblHeader w:val="true"/>
        </w:trPr>
        <w:tc>
          <w:tcPr>
            <w:tcW w:type="dxa" w:w="15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Pattern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Example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Before</w:t>
            </w:r>
          </w:p>
        </w:tc>
        <w:tc>
          <w:tcPr>
            <w:tcW w:type="dxa" w:w="2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New</w:t>
            </w:r>
          </w:p>
        </w:tc>
      </w:tr>
      <w:tr>
        <w:trPr/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Row-local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mul(quantity,unit_cost)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Works; copies recompute.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Same; copied formula stays a formula.</w:t>
            </w:r>
          </w:p>
        </w:tc>
      </w:tr>
      <w:tr>
        <w:trPr/>
        <w:tc>
          <w:tcPr>
            <w:tcW w:type="dxa" w:w="155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Named column</w:t>
            </w:r>
          </w:p>
        </w:tc>
        <w:tc>
          <w:tcPr>
            <w:tcW w:type="dxa" w:w="25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sum(items.line_total)</w:t>
            </w:r>
          </w:p>
        </w:tc>
        <w:tc>
          <w:tcPr>
            <w:tcW w:type="dxa" w:w="25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Sums bound column members.</w:t>
            </w:r>
          </w:p>
        </w:tc>
        <w:tc>
          <w:tcPr>
            <w:tcW w:type="dxa" w:w="281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Same; unbound plain cells still need adoption to join.</w:t>
            </w:r>
          </w:p>
        </w:tc>
      </w:tr>
      <w:tr>
        <w:trPr/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Document mirror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expr=A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Bare ref rejected.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Locked mirror of A; source changes recompute it.</w:t>
            </w:r>
          </w:p>
        </w:tc>
      </w:tr>
      <w:tr>
        <w:trPr/>
        <w:tc>
          <w:tcPr>
            <w:tcW w:type="dxa" w:w="155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Single cell</w:t>
            </w:r>
          </w:p>
        </w:tc>
        <w:tc>
          <w:tcPr>
            <w:tcW w:type="dxa" w:w="25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expr=B3</w:t>
            </w:r>
          </w:p>
        </w:tc>
        <w:tc>
          <w:tcPr>
            <w:tcW w:type="dxa" w:w="25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Not supported.</w:t>
            </w:r>
          </w:p>
        </w:tc>
        <w:tc>
          <w:tcPr>
            <w:tcW w:type="dxa" w:w="281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Reads physical cell B3 in own table; named B3 binding wins if it exists.</w:t>
            </w:r>
          </w:p>
        </w:tc>
      </w:tr>
      <w:tr>
        <w:trPr/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Fixed range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sum(B2:B9)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Not supported.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Sums physical cells, including plain typed numeric cells.</w:t>
            </w:r>
          </w:p>
        </w:tc>
      </w:tr>
      <w:tr>
        <w:trPr/>
        <w:tc>
          <w:tcPr>
            <w:tcW w:type="dxa" w:w="155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Growing range</w:t>
            </w:r>
          </w:p>
        </w:tc>
        <w:tc>
          <w:tcPr>
            <w:tcW w:type="dxa" w:w="25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sum(B2:end)</w:t>
            </w:r>
          </w:p>
        </w:tc>
        <w:tc>
          <w:tcPr>
            <w:tcW w:type="dxa" w:w="25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Not supported.</w:t>
            </w:r>
          </w:p>
        </w:tc>
        <w:tc>
          <w:tcPr>
            <w:tcW w:type="dxa" w:w="281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Extends to last physical row; own formula cell excluded.</w:t>
            </w:r>
          </w:p>
        </w:tc>
      </w:tr>
      <w:tr>
        <w:trPr/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Cross-table cell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summary!B3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Not supported.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Reads B3 from table named summary.</w:t>
            </w:r>
          </w:p>
        </w:tc>
      </w:tr>
      <w:tr>
        <w:trPr/>
        <w:tc>
          <w:tcPr>
            <w:tcW w:type="dxa" w:w="155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Cross-table range</w:t>
            </w:r>
          </w:p>
        </w:tc>
        <w:tc>
          <w:tcPr>
            <w:tcW w:type="dxa" w:w="25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sum(summary!B2:end)</w:t>
            </w:r>
          </w:p>
        </w:tc>
        <w:tc>
          <w:tcPr>
            <w:tcW w:type="dxa" w:w="25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Not supported.</w:t>
            </w:r>
          </w:p>
        </w:tc>
        <w:tc>
          <w:tcPr>
            <w:tcW w:type="dxa" w:w="281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Sums that table’s displayed values.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b/>
        </w:rPr>
        <w:t>Your comments on formulas and references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Heading1"/>
        <w:keepNext/>
      </w:pPr>
      <w:r>
        <w:t>3  Table shapes and row behavior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20"/>
        <w:gridCol w:w="2900"/>
        <w:gridCol w:w="3940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Configuration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Before</w:t>
            </w:r>
          </w:p>
        </w:tc>
        <w:tc>
          <w:tcPr>
            <w:tcW w:type="dxa" w:w="39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New local behavior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Input row + row-local formula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Existing row=auto inputs are editable; local formula recomputes.</w:t>
            </w:r>
          </w:p>
        </w:tc>
        <w:tc>
          <w:tcPr>
            <w:tcW w:type="dxa" w:w="3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Same, including authored new-row defaults.</w:t>
            </w:r>
          </w:p>
        </w:tc>
      </w:tr>
      <w:tr>
        <w:trPr/>
        <w:tc>
          <w:tcPr>
            <w:tcW w:type="dxa" w:w="252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Mirrors + positional total</w:t>
            </w:r>
          </w:p>
        </w:tc>
        <w:tc>
          <w:tcPr>
            <w:tcW w:type="dxa" w:w="29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Bare mirror and range syntax unavailable.</w:t>
            </w:r>
          </w:p>
        </w:tc>
        <w:tc>
          <w:tcPr>
            <w:tcW w:type="dxa" w:w="394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Mirrors and typed rows can interleave. sum(B2:end) includes both.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Mirror-only summary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No supported bare mirrors or positional sum.</w:t>
            </w:r>
          </w:p>
        </w:tc>
        <w:tc>
          <w:tcPr>
            <w:tcW w:type="dxa" w:w="3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New inserted row gets an editable amount control; copying a mirror keeps it a mirror.</w:t>
            </w:r>
          </w:p>
        </w:tc>
      </w:tr>
      <w:tr>
        <w:trPr/>
        <w:tc>
          <w:tcPr>
            <w:tcW w:type="dxa" w:w="252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Input + mirror columns</w:t>
            </w:r>
          </w:p>
        </w:tc>
        <w:tc>
          <w:tcPr>
            <w:tcW w:type="dxa" w:w="29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External formula references required calls.</w:t>
            </w:r>
          </w:p>
        </w:tc>
        <w:tc>
          <w:tcPr>
            <w:tcW w:type="dxa" w:w="394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Empty copied mirror continues to mirror; input columns use their defaults.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Range with no bound data row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No positional consumption or synthetic adoption.</w:t>
            </w:r>
          </w:p>
        </w:tc>
        <w:tc>
          <w:tcPr>
            <w:tcW w:type="dxa" w:w="3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Consumed numeric column can mint an editable row field.</w:t>
            </w:r>
          </w:p>
        </w:tc>
      </w:tr>
      <w:tr>
        <w:trPr/>
        <w:tc>
          <w:tcPr>
            <w:tcW w:type="dxa" w:w="252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Prose / malformed row</w:t>
            </w:r>
          </w:p>
        </w:tc>
        <w:tc>
          <w:tcPr>
            <w:tcW w:type="dxa" w:w="29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Unbound row may remain plain or be skipped.</w:t>
            </w:r>
          </w:p>
        </w:tc>
        <w:tc>
          <w:tcPr>
            <w:tcW w:type="dxa" w:w="394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All-unparseable label row stays plain; partial numeric row adopts so typo is visible.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Header / merged cells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Header rows could affect adoption; named sums unaffected.</w:t>
            </w:r>
          </w:p>
        </w:tc>
        <w:tc>
          <w:tcPr>
            <w:tcW w:type="dxa" w:w="3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Row 1 is first physical row; column spans count; unflagged prose headers stay plain.</w:t>
            </w:r>
          </w:p>
        </w:tc>
      </w:tr>
      <w:tr>
        <w:trPr/>
        <w:tc>
          <w:tcPr>
            <w:tcW w:type="dxa" w:w="252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Insert, delete, undo, redo</w:t>
            </w:r>
          </w:p>
        </w:tc>
        <w:tc>
          <w:tcPr>
            <w:tcW w:type="dxa" w:w="29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Native insert could leave duplicate IDs or stale total.</w:t>
            </w:r>
          </w:p>
        </w:tc>
        <w:tc>
          <w:tcPr>
            <w:tcW w:type="dxa" w:w="394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Rows are attributed; totals refresh; insert-above preserves original; redo covered.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Tracked deletion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No positional total to evaluate.</w:t>
            </w:r>
          </w:p>
        </w:tc>
        <w:tc>
          <w:tcPr>
            <w:tcW w:type="dxa" w:w="3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Deleted row stays in physical numbering but contributes no value or dependency.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b/>
        </w:rPr>
        <w:t>Your comments on row behavior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Heading1"/>
        <w:keepNext/>
      </w:pPr>
      <w:r>
        <w:t>4  Compatibility assessment</w:t>
      </w:r>
    </w:p>
    <w:p>
      <w:pPr/>
      <w:r>
        <w:t>For documented existing table templates, the change is backward compatible: named references and aggregates still resolve, cloned field values reset from an authored default, row-local formulas keep their kind, and a binding named end or Q1 remains a valid name. The new grammar accepts expressions that older releases rejected. This is not a claim that every malformed or dynamically generated template is equivalent.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2100"/>
        <w:gridCol w:w="46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Case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Assessment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Reason / action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Documented row=auto templates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Compatible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value is local; explicit default survives into new rows.</w:t>
            </w:r>
          </w:p>
        </w:tc>
      </w:tr>
      <w:tr>
        <w:trPr/>
        <w:tc>
          <w:tcPr>
            <w:tcW w:type="dxa" w:w="26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Existing named totals</w:t>
            </w:r>
          </w:p>
        </w:tc>
        <w:tc>
          <w:tcPr>
            <w:tcW w:type="dxa" w:w="21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Compatible</w:t>
            </w:r>
          </w:p>
        </w:tc>
        <w:tc>
          <w:tcPr>
            <w:tcW w:type="dxa" w:w="466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sum(table.column) still aggregates bound cells.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Bare-ref / positional formulas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New capability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Not valid formulas before this PR.</w:t>
            </w:r>
          </w:p>
        </w:tc>
      </w:tr>
      <w:tr>
        <w:trPr/>
        <w:tc>
          <w:tcPr>
            <w:tcW w:type="dxa" w:w="26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Implicit boolean default</w:t>
            </w:r>
          </w:p>
        </w:tc>
        <w:tc>
          <w:tcPr>
            <w:tcW w:type="dxa" w:w="21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Behavior change</w:t>
            </w:r>
          </w:p>
        </w:tc>
        <w:tc>
          <w:tcPr>
            <w:tcW w:type="dxa" w:w="466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New row starts false so it can parse and save.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Dynamic default-only row data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Requires template review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Use value for per-row data; default cannot also mean “do not inherit”.</w:t>
            </w:r>
          </w:p>
        </w:tc>
      </w:tr>
      <w:tr>
        <w:trPr/>
        <w:tc>
          <w:tcPr>
            <w:tcW w:type="dxa" w:w="26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Master changes after base</w:t>
            </w:r>
          </w:p>
        </w:tc>
        <w:tc>
          <w:tcPr>
            <w:tcW w:type="dxa" w:w="21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Revalidate</w:t>
            </w:r>
          </w:p>
        </w:tc>
        <w:tc>
          <w:tcPr>
            <w:tcW w:type="dxa" w:w="466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  <w:keepLines/>
            </w:pPr>
            <w:r>
              <w:t>Published PR is behind current master; rerun CI on updated head.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  Boundaries to keep in mind</w:t>
      </w:r>
    </w:p>
    <w:p>
      <w:pPr/>
      <w:r>
        <w:t>Cell refs use uppercase A–ZZ plus a positive physical row number. end is special only after a range colon; a field named end still works. Ranges are allowed inside sum only. A single nonnumeric cell used directly errors; nonnumeric plain text in a sum counts as zero. Empty cells count as zero. Column spans affect position; row spans are not modeled in this version. A formula outside a table needs an explicit table! qualifier for positional reads.</w:t>
      </w:r>
    </w:p>
    <w:p>
      <w:pPr/>
      <w:r>
        <w:t>Feathery field links using field= and sync= remain a pending design in the authoring guide; this PR does not make those options available. Ordinary Jinja substitution fills generation-time text but does not create a live DOCX binding by itself.</w:t>
      </w:r>
    </w:p>
    <w:p>
      <w:pPr/>
      <w:r>
        <w:t>Row copies retain formula kind. The deliberate exception is adoption of a newly inserted row: a mirror-column cell can become an editable field, especially in a mirror-only table. This does not imply two-way synchronization with the source field.</w:t>
      </w:r>
    </w:p>
    <w:p>
      <w:pPr>
        <w:pStyle w:val="SmallNote"/>
      </w:pPr>
      <w:r>
        <w:rPr>
          <w:b/>
          <w:color w:val="1F4D78"/>
        </w:rPr>
        <w:t xml:space="preserve">Release status  </w:t>
      </w:r>
      <w:r>
        <w:t>The corrected behavior described here exists on the local mirror branch. PR #1876 on GitHub still points to its older head and must receive these changes and pass CI before it can be deployed.</w:t>
      </w:r>
    </w:p>
    <w:p>
      <w:pPr>
        <w:pStyle w:val="SmallNote"/>
      </w:pPr>
      <w:r>
        <w:rPr>
          <w:b/>
        </w:rPr>
        <w:t>Your compatibility questions or exceptions to check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r>
        <w:br w:type="page"/>
      </w:r>
    </w:p>
    <w:p>
      <w:pPr>
        <w:pStyle w:val="Heading1"/>
        <w:keepNext/>
      </w:pPr>
      <w:r>
        <w:t>6  Your review comments</w:t>
      </w:r>
    </w:p>
    <w:p>
      <w:pPr/>
      <w:r>
        <w:t>Add notes here or use Word’s Review → New Comment on any paragraph. The prompts below are intentionally open.</w:t>
      </w:r>
    </w:p>
    <w:p>
      <w:pPr>
        <w:pStyle w:val="SmallNote"/>
      </w:pPr>
      <w:r>
        <w:rPr>
          <w:b/>
        </w:rPr>
        <w:t>Templates or real documents we should check before release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SmallNote"/>
      </w:pPr>
      <w:r>
        <w:rPr>
          <w:b/>
        </w:rPr>
        <w:t>Table patterns you want added or clarified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SmallNote"/>
      </w:pPr>
      <w:r>
        <w:rPr>
          <w:b/>
        </w:rPr>
        <w:t>Expected behavior for dynamic default-only row data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SmallNote"/>
      </w:pPr>
      <w:r>
        <w:rPr>
          <w:b/>
        </w:rPr>
        <w:t>Approval / follow-up notes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ReviewLine"/>
        <w:pBdr>
          <w:bottom w:val="single" w:sz="4" w:color="CBD5DF"/>
        </w:pBdr>
        <w:spacing w:after="240"/>
      </w:pPr>
      <w:r>
        <w:t xml:space="preserve"> </w:t>
      </w:r>
    </w:p>
    <w:p>
      <w:pPr>
        <w:pStyle w:val="Heading1"/>
        <w:keepNext/>
      </w:pPr>
      <w:r>
        <w:t>Sources and version</w:t>
      </w:r>
    </w:p>
    <w:p>
      <w:pPr>
        <w:pStyle w:val="SmallNote"/>
      </w:pPr>
      <w:r>
        <w:t>PR: https://github.com/feathery-org/feathery-react/pull/1876</w:t>
      </w:r>
    </w:p>
    <w:p>
      <w:pPr>
        <w:pStyle w:val="SmallNote"/>
      </w:pPr>
      <w:r>
        <w:t>Reference: Guide - Manual content-control template authoring.md; Plan - Excel-style ranges replace mirror-field conversion (PR 1876 rework).md; local feathery-react binding engine and tests.</w:t>
      </w:r>
    </w:p>
    <w:p>
      <w:pPr>
        <w:pStyle w:val="SmallNote"/>
      </w:pPr>
      <w:r>
        <w:t>Comparison baseline 0b5bd0cb; local branch feat/docx-mirror-rows-adoption with review fixes, checked 3 October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Working draft  •  3 Oct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DOCX TABLE CONFIGURATIONS  |  PR #1876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232F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80" w:line="276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5B6875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pPr>
      <w:spacing w:before="0" w:after="60" w:line="276" w:lineRule="auto"/>
    </w:pPr>
    <w:rPr>
      <w:rFonts w:ascii="Calibri" w:hAnsi="Calibri"/>
      <w:b w:val="0"/>
      <w:color w:val="232F3D"/>
      <w:sz w:val="18"/>
    </w:rPr>
  </w:style>
  <w:style w:type="paragraph" w:customStyle="1" w:styleId="TableHead">
    <w:name w:val="Table Head"/>
    <w:pPr>
      <w:spacing w:before="0" w:after="60" w:line="264" w:lineRule="auto"/>
    </w:pPr>
    <w:rPr>
      <w:rFonts w:ascii="Calibri" w:hAnsi="Calibri"/>
      <w:b/>
      <w:color w:val="1F4D78"/>
      <w:sz w:val="18"/>
    </w:rPr>
  </w:style>
  <w:style w:type="paragraph" w:customStyle="1" w:styleId="Code">
    <w:name w:val="Code"/>
    <w:pPr>
      <w:spacing w:before="0" w:after="80" w:line="264" w:lineRule="auto"/>
    </w:pPr>
    <w:rPr>
      <w:rFonts w:ascii="Calibri" w:hAnsi="Calibri"/>
      <w:b w:val="0"/>
      <w:color w:val="1F4D78"/>
      <w:sz w:val="18"/>
    </w:rPr>
  </w:style>
  <w:style w:type="paragraph" w:customStyle="1" w:styleId="SmallNote">
    <w:name w:val="Small Note"/>
    <w:pPr>
      <w:spacing w:before="0" w:after="100" w:line="276" w:lineRule="auto"/>
    </w:pPr>
    <w:rPr>
      <w:rFonts w:ascii="Calibri" w:hAnsi="Calibri"/>
      <w:b w:val="0"/>
      <w:color w:val="5B6875"/>
      <w:sz w:val="18"/>
    </w:rPr>
  </w:style>
  <w:style w:type="paragraph" w:customStyle="1" w:styleId="ReviewLine">
    <w:name w:val="Review Line"/>
    <w:pPr>
      <w:spacing w:before="0" w:after="180" w:line="264" w:lineRule="auto"/>
    </w:pPr>
    <w:rPr>
      <w:rFonts w:ascii="Calibri" w:hAnsi="Calibri"/>
      <w:b w:val="0"/>
      <w:color w:val="5B687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