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Progress Summary</w:t>
      </w:r>
    </w:p>
    <w:p>
      <w:pPr>
        <w:spacing w:after="100" w:before="0"/>
      </w:pPr>
      <w:r>
        <w:rPr>
          <w:i/>
          <w:iCs/>
          <w:color w:val="444444"/>
          <w:sz w:val="22"/>
          <w:szCs w:val="22"/>
        </w:rPr>
        <w:t xml:space="preserve">Forensic Artefact Analysis of Cryptocurrency Wallet Applications on Android — status as of 18 August 2026</w:t>
      </w:r>
    </w:p>
    <w:p>
      <w:pPr>
        <w:spacing w:after="300" w:before="0"/>
      </w:pPr>
      <w:r>
        <w:rPr>
          <w:i/>
          <w:iCs/>
          <w:color w:val="666666"/>
          <w:sz w:val="18"/>
          <w:szCs w:val="18"/>
        </w:rPr>
        <w:t xml:space="preserve">Note on this document: items below marked “self-reported” reflect what has been described in conversation and have not been independently verified (e.g. by inspecting the emulator, ethics portal, or reading notes directly). Treat this as a starting point to correct at the meeting, not a final record.</w:t>
      </w:r>
    </w:p>
    <w:p>
      <w:pPr>
        <w:pStyle w:val="Heading1"/>
      </w:pPr>
      <w:r>
        <w:t xml:space="preserve">1. Timeline Reality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Original plan (drafted ~5 July)</w:t>
            </w:r>
          </w:p>
        </w:tc>
        <w:tc>
          <w:tcPr>
            <w:tcW w:type="dxa" w:w="34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Actual, as of 18 August</w:t>
            </w:r>
          </w:p>
        </w:tc>
      </w:tr>
      <w:tr>
        <w:tc>
          <w:tcPr>
            <w:tcW w:type="dxa" w:w="2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Days to submission</w:t>
            </w:r>
          </w:p>
        </w:tc>
        <w:tc>
          <w:tcPr>
            <w:tcW w:type="dxa" w:w="34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~79 days (11 weeks) from plan start</w:t>
            </w:r>
          </w:p>
        </w:tc>
        <w:tc>
          <w:tcPr>
            <w:tcW w:type="dxa" w:w="34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 days (5 weeks) remaining</w:t>
            </w:r>
          </w:p>
        </w:tc>
      </w:tr>
      <w:tr>
        <w:tc>
          <w:tcPr>
            <w:tcW w:type="dxa" w:w="2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Module's own suggested pace</w:t>
            </w:r>
          </w:p>
        </w:tc>
        <w:tc>
          <w:tcPr>
            <w:tcW w:type="dxa" w:w="34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Guidance says Introduction &amp; Literature Review proofreading should already be well underway by August</w:t>
            </w:r>
          </w:p>
        </w:tc>
      </w:tr>
      <w:tr>
        <w:tc>
          <w:tcPr>
            <w:tcW w:type="dxa" w:w="2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Introduction</w:t>
            </w:r>
          </w:p>
        </w:tc>
        <w:tc>
          <w:tcPr>
            <w:tcW w:type="dxa" w:w="34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Planned for weeks 7–9</w:t>
            </w:r>
          </w:p>
        </w:tc>
        <w:tc>
          <w:tcPr>
            <w:tcW w:type="dxa" w:w="34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Drafted in full today</w:t>
            </w:r>
          </w:p>
        </w:tc>
      </w:tr>
      <w:tr>
        <w:tc>
          <w:tcPr>
            <w:tcW w:type="dxa" w:w="2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Methodology</w:t>
            </w:r>
          </w:p>
        </w:tc>
        <w:tc>
          <w:tcPr>
            <w:tcW w:type="dxa" w:w="34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Planned for weeks 7–9</w:t>
            </w:r>
          </w:p>
        </w:tc>
        <w:tc>
          <w:tcPr>
            <w:tcW w:type="dxa" w:w="34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Drafted in full today</w:t>
            </w:r>
          </w:p>
        </w:tc>
      </w:tr>
      <w:tr>
        <w:tc>
          <w:tcPr>
            <w:tcW w:type="dxa" w:w="2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Literature Review</w:t>
            </w:r>
          </w:p>
        </w:tc>
        <w:tc>
          <w:tcPr>
            <w:tcW w:type="dxa" w:w="34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Planned for weeks 7–9</w:t>
            </w:r>
          </w:p>
        </w:tc>
        <w:tc>
          <w:tcPr>
            <w:tcW w:type="dxa" w:w="34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Structured skeleton only — sources not yet added</w:t>
            </w:r>
          </w:p>
        </w:tc>
      </w:tr>
      <w:tr>
        <w:tc>
          <w:tcPr>
            <w:tcW w:type="dxa" w:w="2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Experimental phases (A0–A12)</w:t>
            </w:r>
          </w:p>
        </w:tc>
        <w:tc>
          <w:tcPr>
            <w:tcW w:type="dxa" w:w="34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Planned to run weeks 4–6</w:t>
            </w:r>
          </w:p>
        </w:tc>
        <w:tc>
          <w:tcPr>
            <w:tcW w:type="dxa" w:w="34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 yet started, per self-report</w:t>
            </w:r>
          </w:p>
        </w:tc>
      </w:tr>
    </w:tbl>
    <w:p>
      <w:pPr>
        <w:pBdr>
          <w:left w:val="single" w:color="C00000" w:sz="12" w:space="8"/>
        </w:pBdr>
        <w:spacing w:after="200" w:before="80"/>
        <w:ind w:left="120"/>
      </w:pPr>
      <w:r>
        <w:rPr>
          <w:b/>
          <w:bCs/>
          <w:color w:val="C00000"/>
          <w:sz w:val="20"/>
          <w:szCs w:val="20"/>
        </w:rPr>
        <w:t xml:space="preserve">Flag: </w:t>
      </w:r>
      <w:r>
        <w:rPr>
          <w:i/>
          <w:iCs/>
          <w:color w:val="444444"/>
          <w:sz w:val="20"/>
          <w:szCs w:val="20"/>
        </w:rPr>
        <w:t xml:space="preserve">The gap between the original plan's pacing and where things actually stand is the single most important thing to raise tomorrow. It doesn't mean the project is off track — Chapters 1 and 3 are further ahead than the original schedule assumed — but the 13-phase, 3-app experimental design needs a supervisor-agreed go/no-go on scope given 5 weeks remain.</w:t>
      </w:r>
    </w:p>
    <w:p>
      <w:pPr>
        <w:pStyle w:val="Heading1"/>
      </w:pPr>
      <w:r>
        <w:t xml:space="preserve">2. What's Confirmed Done</w:t>
      </w:r>
    </w:p>
    <w:p>
      <w:pPr>
        <w:pStyle w:val="Heading2"/>
      </w:pPr>
      <w:r>
        <w:t xml:space="preserve">Literature review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Reading in progress across Android forensics, cryptocurrency wallet architecture, Android storage/security, and evidential-value literature (self-reported; specific source count and coverage not yet detailed).</w:t>
      </w:r>
    </w:p>
    <w:p>
      <w:pPr>
        <w:pStyle w:val="Heading2"/>
      </w:pPr>
      <w:r>
        <w:t xml:space="preserve">Device and application setup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Android Studio emulator selected as the test environment (self-reported).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Wallet app categories agreed: EVM/Web3 (MetaMask Mobile candidate), multi-chain (Trust Wallet/Coinbase Wallet candidate), Bitcoin-focused (BlueWallet/Bitcoin Wallet candidate) — specific single apps per category not yet confirmed as locked.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Rooted vs. non-rooted emulator image status not yet confirmed — needed for full-filesystem acquisition (RQ3).</w:t>
      </w:r>
    </w:p>
    <w:p>
      <w:pPr>
        <w:pStyle w:val="Heading2"/>
      </w:pPr>
      <w:r>
        <w:t xml:space="preserve">Ethics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CURES ethics approval submitted (self-reported). Decision status (approved / pending / conditions) not yet confirmed — this is a hard gate per the module handbook: no data collection before approval, and the thesis cannot be marked without it on file.</w:t>
      </w:r>
    </w:p>
    <w:p>
      <w:pPr>
        <w:pStyle w:val="Heading2"/>
      </w:pPr>
      <w:r>
        <w:t xml:space="preserve">Thesis document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Working LaTeX thesis built on Cranfield's official CUThesisTemplate2026 (APA7 Author-Date referencing).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Chapter 1 (Introduction) drafted in full: background, research gap, aim, RQ1–RQ4, scope/boundaries, structure overview.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Chapter 3 (Methodology) drafted in full: research design, wallet selection rationale, device/environment, the 13-phase action sequence, acquisition strategy, artefact taxonomy, evidential-value scoring framework, tools, ethics, and limitations.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Chapter 2 (Literature Review) structured with seven themed sections and guidance notes for each — intentionally left without citations until real sources are read, to avoid fabricated references.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Chapters 4–8 (Experiment Setup, Results, Persistence Analysis, Evidential Value Discussion, Conclusion) are stubbed, pending experimental data.</w:t>
      </w:r>
    </w:p>
    <w:p>
      <w:pPr>
        <w:pStyle w:val="Heading1"/>
      </w:pPr>
      <w:r>
        <w:t xml:space="preserve">3. Risk Register</w:t>
      </w:r>
    </w:p>
    <w:p>
      <w:pPr>
        <w:spacing w:after="160" w:before="0"/>
      </w:pPr>
      <w:r>
        <w:rPr>
          <w:i/>
          <w:iCs/>
          <w:color w:val="666666"/>
          <w:sz w:val="18"/>
          <w:szCs w:val="18"/>
        </w:rPr>
        <w:t xml:space="preserve">Using the probability/severity framework from the module's own project-management briefing.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2000"/>
        <w:gridCol w:w="1160"/>
        <w:gridCol w:w="2300"/>
      </w:tblGrid>
      <w:tr>
        <w:trPr>
          <w:tblHeader/>
        </w:trPr>
        <w:tc>
          <w:tcPr>
            <w:tcW w:type="dxa" w:w="2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20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  <w:tc>
          <w:tcPr>
            <w:tcW w:type="dxa" w:w="23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Ethics approval delayed or returned with conditions</w:t>
            </w:r>
          </w:p>
        </w:tc>
        <w:tc>
          <w:tcPr>
            <w:tcW w:type="dxa" w:w="13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Probable</w:t>
            </w:r>
          </w:p>
        </w:tc>
        <w:tc>
          <w:tcPr>
            <w:tcW w:type="dxa" w:w="20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Catastrophic (blocks all data collection and marking)</w:t>
            </w:r>
          </w:p>
        </w:tc>
        <w:tc>
          <w:tcPr>
            <w:tcW w:type="dxa" w:w="1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 (12)</w:t>
            </w:r>
          </w:p>
        </w:tc>
        <w:tc>
          <w:tcPr>
            <w:tcW w:type="dxa" w:w="23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Confirm status tomorrow; escalate with supervisor if not yet decided</w:t>
            </w:r>
          </w:p>
        </w:tc>
      </w:tr>
      <w:tr>
        <w:tc>
          <w:tcPr>
            <w:tcW w:type="dxa" w:w="2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5-week window insufficient for 3 apps × 13 phases</w:t>
            </w:r>
          </w:p>
        </w:tc>
        <w:tc>
          <w:tcPr>
            <w:tcW w:type="dxa" w:w="13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Probable</w:t>
            </w:r>
          </w:p>
        </w:tc>
        <w:tc>
          <w:tcPr>
            <w:tcW w:type="dxa" w:w="20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1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Serious (9)</w:t>
            </w:r>
          </w:p>
        </w:tc>
        <w:tc>
          <w:tcPr>
            <w:tcW w:type="dxa" w:w="23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supervisor sign-off tomorrow on scope; consider cutting to 2 apps or a reduced phase set if needed</w:t>
            </w:r>
          </w:p>
        </w:tc>
      </w:tr>
      <w:tr>
        <w:tc>
          <w:tcPr>
            <w:tcW w:type="dxa" w:w="2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commercial forensic tool access, narrowing RQ3</w:t>
            </w:r>
          </w:p>
        </w:tc>
        <w:tc>
          <w:tcPr>
            <w:tcW w:type="dxa" w:w="13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Probable</w:t>
            </w:r>
          </w:p>
        </w:tc>
        <w:tc>
          <w:tcPr>
            <w:tcW w:type="dxa" w:w="20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Marginal (RQ3 still answerable, just narrower)</w:t>
            </w:r>
          </w:p>
        </w:tc>
        <w:tc>
          <w:tcPr>
            <w:tcW w:type="dxa" w:w="1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Serious (6)</w:t>
            </w:r>
          </w:p>
        </w:tc>
        <w:tc>
          <w:tcPr>
            <w:tcW w:type="dxa" w:w="23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Confirm tool access tomorrow; write RQ3 boundary into Methodology now (already done)</w:t>
            </w:r>
          </w:p>
        </w:tc>
      </w:tr>
      <w:tr>
        <w:tc>
          <w:tcPr>
            <w:tcW w:type="dxa" w:w="2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Wallet app storage assumptions wrong (as already happened once with MetaMask)</w:t>
            </w:r>
          </w:p>
        </w:tc>
        <w:tc>
          <w:tcPr>
            <w:tcW w:type="dxa" w:w="13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Probable</w:t>
            </w:r>
          </w:p>
        </w:tc>
        <w:tc>
          <w:tcPr>
            <w:tcW w:type="dxa" w:w="20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Marginal</w:t>
            </w:r>
          </w:p>
        </w:tc>
        <w:tc>
          <w:tcPr>
            <w:tcW w:type="dxa" w:w="1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Serious (6)</w:t>
            </w:r>
          </w:p>
        </w:tc>
        <w:tc>
          <w:tcPr>
            <w:tcW w:type="dxa" w:w="23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Verify each app's storage backend empirically during the pilot phase before the full run</w:t>
            </w:r>
          </w:p>
        </w:tc>
      </w:tr>
      <w:tr>
        <w:tc>
          <w:tcPr>
            <w:tcW w:type="dxa" w:w="2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Emulator behaviour diverges from real hardware (Keystore/TEE)</w:t>
            </w:r>
          </w:p>
        </w:tc>
        <w:tc>
          <w:tcPr>
            <w:tcW w:type="dxa" w:w="13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Remote</w:t>
            </w:r>
          </w:p>
        </w:tc>
        <w:tc>
          <w:tcPr>
            <w:tcW w:type="dxa" w:w="20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Marginal</w:t>
            </w:r>
          </w:p>
        </w:tc>
        <w:tc>
          <w:tcPr>
            <w:tcW w:type="dxa" w:w="1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 (4)</w:t>
            </w:r>
          </w:p>
        </w:tc>
        <w:tc>
          <w:tcPr>
            <w:tcW w:type="dxa" w:w="23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State as a limitation; consider one physical-device spot-check if time allows</w:t>
            </w:r>
          </w:p>
        </w:tc>
      </w:tr>
    </w:tbl>
    <w:p>
      <w:pPr>
        <w:pStyle w:val="Heading1"/>
      </w:pPr>
      <w:r>
        <w:t xml:space="preserve">4. Immediate Next Steps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Take the open items list from the meeting prep notes into tomorrow's meeting and get explicit answers, especially ethics status and scope sign-off.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Lock the three specific wallet apps and confirm the emulator's root status.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Start the pilot phase (one wallet through all 13 phases) as soon as ethics approval is confirmed.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Continue literature reading toward populating Chapter 2, following the thematic structure already drafted.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File the completed Research Supervision Meeting Notes to Canvas after the meeting, as required by the module.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Progress Summary — 18 August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0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2026-08-19T00:51:50.441Z</dcterms:created>
  <dcterms:modified xsi:type="dcterms:W3CDTF">2026-08-19T00:51:50.441Z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