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D40F561" w14:textId="77777777" w:rsidR="00AD43F1" w:rsidRDefault="00000000">
      <w:pPr>
        <w:spacing w:before="2000" w:after="400"/>
        <w:jc w:val="center"/>
      </w:pPr>
      <w:r>
        <w:rPr>
          <w:b/>
          <w:bCs/>
          <w:color w:val="1F3864"/>
          <w:sz w:val="40"/>
          <w:szCs w:val="40"/>
        </w:rPr>
        <w:t>Forensic Artefact Analysis of Cryptocurrency Wallet Applications on Android</w:t>
      </w:r>
    </w:p>
    <w:p w14:paraId="70127263" w14:textId="77777777" w:rsidR="00AD43F1" w:rsidRDefault="00000000">
      <w:pPr>
        <w:spacing w:after="600"/>
        <w:jc w:val="center"/>
      </w:pPr>
      <w:r>
        <w:rPr>
          <w:i/>
          <w:iCs/>
          <w:color w:val="444444"/>
          <w:sz w:val="28"/>
          <w:szCs w:val="28"/>
        </w:rPr>
        <w:t>Recovery, Persistence, and Evidential Value</w:t>
      </w:r>
    </w:p>
    <w:p w14:paraId="0EBB2C3D" w14:textId="77777777" w:rsidR="00AD43F1" w:rsidRDefault="00000000">
      <w:pPr>
        <w:spacing w:after="200"/>
        <w:jc w:val="center"/>
      </w:pPr>
      <w:r>
        <w:rPr>
          <w:sz w:val="26"/>
          <w:szCs w:val="26"/>
        </w:rPr>
        <w:t>Prince Sharma</w:t>
      </w:r>
    </w:p>
    <w:p w14:paraId="3D9CE5C5" w14:textId="77777777" w:rsidR="00AD43F1" w:rsidRDefault="00000000">
      <w:pPr>
        <w:spacing w:after="200"/>
        <w:jc w:val="center"/>
      </w:pPr>
      <w:r>
        <w:t>MSc Digital Forensics — Cranfield University</w:t>
      </w:r>
    </w:p>
    <w:p w14:paraId="47278697" w14:textId="53631DEE" w:rsidR="00AD43F1" w:rsidRDefault="00000000">
      <w:pPr>
        <w:spacing w:after="200"/>
        <w:jc w:val="center"/>
      </w:pPr>
      <w:r>
        <w:rPr>
          <w:color w:val="666666"/>
          <w:sz w:val="22"/>
          <w:szCs w:val="22"/>
        </w:rPr>
        <w:t>Supervisor: []</w:t>
      </w:r>
    </w:p>
    <w:p w14:paraId="52632865" w14:textId="77777777" w:rsidR="00AD43F1" w:rsidRDefault="00000000">
      <w:pPr>
        <w:spacing w:after="1200"/>
        <w:jc w:val="center"/>
      </w:pPr>
      <w:r>
        <w:rPr>
          <w:color w:val="666666"/>
          <w:sz w:val="22"/>
          <w:szCs w:val="22"/>
        </w:rPr>
        <w:t>September 2026</w:t>
      </w:r>
    </w:p>
    <w:p w14:paraId="411186DA" w14:textId="77777777" w:rsidR="00AD43F1" w:rsidRDefault="00000000">
      <w:pPr>
        <w:spacing w:after="180" w:line="360" w:lineRule="auto"/>
        <w:jc w:val="center"/>
      </w:pPr>
      <w:r>
        <w:rPr>
          <w:i/>
          <w:iCs/>
          <w:color w:val="888888"/>
          <w:sz w:val="18"/>
          <w:szCs w:val="18"/>
        </w:rPr>
        <w:t>This is a working draft for review. Sections marked as not yet written are noted plainly in the text.</w:t>
      </w:r>
    </w:p>
    <w:p w14:paraId="586F4311" w14:textId="77777777" w:rsidR="00AD43F1" w:rsidRDefault="00000000">
      <w:r>
        <w:br w:type="page"/>
      </w:r>
    </w:p>
    <w:p w14:paraId="3F6CD644" w14:textId="77777777" w:rsidR="00AD43F1" w:rsidRDefault="00000000">
      <w:pPr>
        <w:pStyle w:val="Heading1"/>
      </w:pPr>
      <w:r>
        <w:lastRenderedPageBreak/>
        <w:t>Abstract</w:t>
      </w:r>
    </w:p>
    <w:p w14:paraId="4D64C88B" w14:textId="77777777" w:rsidR="00AD43F1" w:rsidRDefault="00000000">
      <w:pPr>
        <w:spacing w:after="180" w:line="360" w:lineRule="auto"/>
      </w:pPr>
      <w:r>
        <w:t xml:space="preserve">Many people now use cryptocurrency wallet apps on their Android phones. These apps can leave behind digital traces, often called artefacts, that may help in an investigation. This includes things like wallet addresses, transaction records, and timestamps. But two things are not well understood yet. First, whether these traces stay on the phone after the user tries to remove them, for example after logging out, deleting the wallet, clearing the cache, or uninstalling the app. Second, how much these traces </w:t>
      </w:r>
      <w:proofErr w:type="gramStart"/>
      <w:r>
        <w:t>actually prove</w:t>
      </w:r>
      <w:proofErr w:type="gramEnd"/>
      <w:r>
        <w:t xml:space="preserve"> in an investigation.</w:t>
      </w:r>
    </w:p>
    <w:p w14:paraId="2E6E4E2B" w14:textId="77777777" w:rsidR="00AD43F1" w:rsidRDefault="00000000">
      <w:pPr>
        <w:spacing w:after="180" w:line="360" w:lineRule="auto"/>
      </w:pPr>
      <w:r>
        <w:t xml:space="preserve">This thesis studies three Android cryptocurrency wallet apps: MetaMask, Trust Wallet, and </w:t>
      </w:r>
      <w:proofErr w:type="spellStart"/>
      <w:r>
        <w:t>BlueWallet</w:t>
      </w:r>
      <w:proofErr w:type="spellEnd"/>
      <w:r>
        <w:t>. Each app is tested through a fixed set of steps, such as installing the app, creating a wallet, sending a test transaction, and deleting the wallet. After each step, a forensic capture is taken. A custom Python script records a baseline capture before testing starts, then takes a new capture after each step and compares it with the baseline and the step before it. The script logs exactly what changed, so the survival of each artefact can be tracked with a clear record.</w:t>
      </w:r>
    </w:p>
    <w:p w14:paraId="58B9A102" w14:textId="77777777" w:rsidR="00AD43F1" w:rsidRDefault="00000000">
      <w:pPr>
        <w:spacing w:after="180" w:line="360" w:lineRule="auto"/>
      </w:pPr>
      <w:r>
        <w:t xml:space="preserve">Each artefact found is also scored for how much it </w:t>
      </w:r>
      <w:proofErr w:type="gramStart"/>
      <w:r>
        <w:t>actually proves</w:t>
      </w:r>
      <w:proofErr w:type="gramEnd"/>
      <w:r>
        <w:t>. For example, finding a wallet address alone shows that address was present on the device, but it does not prove who owned or controlled the wallet. The result is intended to be a practical guide for investigators: what to expect to find, how long it may last, and how much weight it should carry in a report.</w:t>
      </w:r>
    </w:p>
    <w:p w14:paraId="6462BE50" w14:textId="77777777" w:rsidR="00AD43F1" w:rsidRDefault="00000000">
      <w:pPr>
        <w:pStyle w:val="Heading2"/>
      </w:pPr>
      <w:r>
        <w:t>Keywords</w:t>
      </w:r>
    </w:p>
    <w:p w14:paraId="3B2BF52E" w14:textId="77777777" w:rsidR="00AD43F1" w:rsidRDefault="00000000">
      <w:pPr>
        <w:spacing w:after="180" w:line="360" w:lineRule="auto"/>
      </w:pPr>
      <w:r>
        <w:rPr>
          <w:i/>
          <w:iCs/>
        </w:rPr>
        <w:t>digital forensics, Android forensics, cryptocurrency wallets, mobile forensics, artefact persistence, evidential value, blockchain evidence, data recovery</w:t>
      </w:r>
    </w:p>
    <w:p w14:paraId="11D28DD3" w14:textId="6269F6E6" w:rsidR="00AD43F1" w:rsidRDefault="00000000" w:rsidP="00293138">
      <w:pPr>
        <w:pStyle w:val="Heading1"/>
      </w:pPr>
      <w:r>
        <w:lastRenderedPageBreak/>
        <w:t>Table of Contents</w:t>
      </w:r>
    </w:p>
    <w:p w14:paraId="559785CF" w14:textId="77777777" w:rsidR="00AD43F1" w:rsidRDefault="00000000">
      <w:pPr>
        <w:spacing w:before="160" w:after="120"/>
      </w:pPr>
      <w:hyperlink w:anchor="chap1" w:history="1">
        <w:r>
          <w:rPr>
            <w:rStyle w:val="Hyperlink"/>
            <w:b/>
            <w:bCs/>
          </w:rPr>
          <w:t>Chapter 1: Introduction</w:t>
        </w:r>
      </w:hyperlink>
    </w:p>
    <w:p w14:paraId="30F52BD8" w14:textId="77777777" w:rsidR="00AD43F1" w:rsidRDefault="00000000">
      <w:pPr>
        <w:spacing w:after="60"/>
        <w:ind w:left="480"/>
      </w:pPr>
      <w:hyperlink w:anchor="s11" w:history="1">
        <w:r>
          <w:rPr>
            <w:rStyle w:val="Hyperlink"/>
            <w:sz w:val="21"/>
            <w:szCs w:val="21"/>
          </w:rPr>
          <w:t>1.1 Background</w:t>
        </w:r>
      </w:hyperlink>
    </w:p>
    <w:p w14:paraId="489FC88C" w14:textId="77777777" w:rsidR="00AD43F1" w:rsidRDefault="00000000">
      <w:pPr>
        <w:spacing w:after="60"/>
        <w:ind w:left="480"/>
      </w:pPr>
      <w:hyperlink w:anchor="s12" w:history="1">
        <w:r>
          <w:rPr>
            <w:rStyle w:val="Hyperlink"/>
            <w:sz w:val="21"/>
            <w:szCs w:val="21"/>
          </w:rPr>
          <w:t>1.2 The Gap in Current Research</w:t>
        </w:r>
      </w:hyperlink>
    </w:p>
    <w:p w14:paraId="34DD7CD9" w14:textId="77777777" w:rsidR="00AD43F1" w:rsidRDefault="00000000">
      <w:pPr>
        <w:spacing w:after="60"/>
        <w:ind w:left="480"/>
      </w:pPr>
      <w:hyperlink w:anchor="s13" w:history="1">
        <w:r>
          <w:rPr>
            <w:rStyle w:val="Hyperlink"/>
            <w:sz w:val="21"/>
            <w:szCs w:val="21"/>
          </w:rPr>
          <w:t>1.3 Aim</w:t>
        </w:r>
      </w:hyperlink>
    </w:p>
    <w:p w14:paraId="300B7071" w14:textId="77777777" w:rsidR="00AD43F1" w:rsidRDefault="00000000">
      <w:pPr>
        <w:spacing w:after="60"/>
        <w:ind w:left="480"/>
      </w:pPr>
      <w:hyperlink w:anchor="s14" w:history="1">
        <w:r>
          <w:rPr>
            <w:rStyle w:val="Hyperlink"/>
            <w:sz w:val="21"/>
            <w:szCs w:val="21"/>
          </w:rPr>
          <w:t>1.4 Research Questions</w:t>
        </w:r>
      </w:hyperlink>
    </w:p>
    <w:p w14:paraId="41E57033" w14:textId="77777777" w:rsidR="00AD43F1" w:rsidRDefault="00000000">
      <w:pPr>
        <w:spacing w:after="60"/>
        <w:ind w:left="480"/>
      </w:pPr>
      <w:hyperlink w:anchor="s15" w:history="1">
        <w:r>
          <w:rPr>
            <w:rStyle w:val="Hyperlink"/>
            <w:sz w:val="21"/>
            <w:szCs w:val="21"/>
          </w:rPr>
          <w:t>1.5 Scope and Limits</w:t>
        </w:r>
      </w:hyperlink>
    </w:p>
    <w:p w14:paraId="1A0E2381" w14:textId="77777777" w:rsidR="00AD43F1" w:rsidRDefault="00000000">
      <w:pPr>
        <w:spacing w:after="60"/>
        <w:ind w:left="480"/>
      </w:pPr>
      <w:hyperlink w:anchor="s16" w:history="1">
        <w:r>
          <w:rPr>
            <w:rStyle w:val="Hyperlink"/>
            <w:sz w:val="21"/>
            <w:szCs w:val="21"/>
          </w:rPr>
          <w:t xml:space="preserve">1.6 How This Thesis is </w:t>
        </w:r>
        <w:proofErr w:type="spellStart"/>
        <w:r>
          <w:rPr>
            <w:rStyle w:val="Hyperlink"/>
            <w:sz w:val="21"/>
            <w:szCs w:val="21"/>
          </w:rPr>
          <w:t>Organised</w:t>
        </w:r>
        <w:proofErr w:type="spellEnd"/>
      </w:hyperlink>
    </w:p>
    <w:p w14:paraId="2B74D093" w14:textId="77777777" w:rsidR="00AD43F1" w:rsidRDefault="00000000">
      <w:pPr>
        <w:spacing w:before="160" w:after="120"/>
      </w:pPr>
      <w:hyperlink w:anchor="chap2" w:history="1">
        <w:r>
          <w:rPr>
            <w:rStyle w:val="Hyperlink"/>
            <w:b/>
            <w:bCs/>
          </w:rPr>
          <w:t>Chapter 2: Literature Review</w:t>
        </w:r>
      </w:hyperlink>
    </w:p>
    <w:p w14:paraId="3B726088" w14:textId="77777777" w:rsidR="00AD43F1" w:rsidRDefault="00000000">
      <w:pPr>
        <w:spacing w:after="60"/>
        <w:ind w:left="480"/>
      </w:pPr>
      <w:hyperlink w:anchor="s21" w:history="1">
        <w:r>
          <w:rPr>
            <w:rStyle w:val="Hyperlink"/>
            <w:sz w:val="21"/>
            <w:szCs w:val="21"/>
          </w:rPr>
          <w:t>2.1 How Mobile Forensics Works</w:t>
        </w:r>
      </w:hyperlink>
    </w:p>
    <w:p w14:paraId="2DEE2609" w14:textId="77777777" w:rsidR="00AD43F1" w:rsidRDefault="00000000">
      <w:pPr>
        <w:spacing w:after="60"/>
        <w:ind w:left="480"/>
      </w:pPr>
      <w:hyperlink w:anchor="s22" w:history="1">
        <w:r>
          <w:rPr>
            <w:rStyle w:val="Hyperlink"/>
            <w:sz w:val="21"/>
            <w:szCs w:val="21"/>
          </w:rPr>
          <w:t>2.2 Android Storage and Security</w:t>
        </w:r>
      </w:hyperlink>
    </w:p>
    <w:p w14:paraId="2435FEF0" w14:textId="77777777" w:rsidR="00AD43F1" w:rsidRDefault="00000000">
      <w:pPr>
        <w:spacing w:after="60"/>
        <w:ind w:left="480"/>
      </w:pPr>
      <w:hyperlink w:anchor="s23" w:history="1">
        <w:r>
          <w:rPr>
            <w:rStyle w:val="Hyperlink"/>
            <w:sz w:val="21"/>
            <w:szCs w:val="21"/>
          </w:rPr>
          <w:t>2.3 How Cryptocurrency Wallets Work</w:t>
        </w:r>
      </w:hyperlink>
    </w:p>
    <w:p w14:paraId="46820498" w14:textId="77777777" w:rsidR="00AD43F1" w:rsidRDefault="00000000">
      <w:pPr>
        <w:spacing w:after="60"/>
        <w:ind w:left="480"/>
      </w:pPr>
      <w:hyperlink w:anchor="s24" w:history="1">
        <w:r>
          <w:rPr>
            <w:rStyle w:val="Hyperlink"/>
            <w:sz w:val="21"/>
            <w:szCs w:val="21"/>
          </w:rPr>
          <w:t>2.4 Earlier Studies on Wallet App Forensics</w:t>
        </w:r>
      </w:hyperlink>
    </w:p>
    <w:p w14:paraId="04F71908" w14:textId="77777777" w:rsidR="00AD43F1" w:rsidRDefault="00000000">
      <w:pPr>
        <w:spacing w:after="60"/>
        <w:ind w:left="480"/>
      </w:pPr>
      <w:hyperlink w:anchor="s25" w:history="1">
        <w:r>
          <w:rPr>
            <w:rStyle w:val="Hyperlink"/>
            <w:sz w:val="21"/>
            <w:szCs w:val="21"/>
          </w:rPr>
          <w:t>2.5 Blockchain Evidence and Linking a Wallet to a Person</w:t>
        </w:r>
      </w:hyperlink>
    </w:p>
    <w:p w14:paraId="16880B45" w14:textId="77777777" w:rsidR="00AD43F1" w:rsidRDefault="00000000">
      <w:pPr>
        <w:spacing w:after="60"/>
        <w:ind w:left="480"/>
      </w:pPr>
      <w:hyperlink w:anchor="s26" w:history="1">
        <w:r>
          <w:rPr>
            <w:rStyle w:val="Hyperlink"/>
            <w:sz w:val="21"/>
            <w:szCs w:val="21"/>
          </w:rPr>
          <w:t>2.6 How Much Digital Evidence Can Prove</w:t>
        </w:r>
      </w:hyperlink>
    </w:p>
    <w:p w14:paraId="7C2514DA" w14:textId="77777777" w:rsidR="00AD43F1" w:rsidRDefault="00000000">
      <w:pPr>
        <w:spacing w:after="60"/>
        <w:ind w:left="480"/>
      </w:pPr>
      <w:hyperlink w:anchor="s27" w:history="1">
        <w:r>
          <w:rPr>
            <w:rStyle w:val="Hyperlink"/>
            <w:sz w:val="21"/>
            <w:szCs w:val="21"/>
          </w:rPr>
          <w:t>2.7 Where This Leaves This Thesis</w:t>
        </w:r>
      </w:hyperlink>
    </w:p>
    <w:p w14:paraId="359DF7A4" w14:textId="77777777" w:rsidR="00AD43F1" w:rsidRDefault="00000000">
      <w:pPr>
        <w:spacing w:before="160" w:after="120"/>
      </w:pPr>
      <w:hyperlink w:anchor="chap3" w:history="1">
        <w:r>
          <w:rPr>
            <w:rStyle w:val="Hyperlink"/>
            <w:b/>
            <w:bCs/>
          </w:rPr>
          <w:t>Chapter 3: Methodology</w:t>
        </w:r>
      </w:hyperlink>
    </w:p>
    <w:p w14:paraId="08321F94" w14:textId="77777777" w:rsidR="00AD43F1" w:rsidRDefault="00000000">
      <w:pPr>
        <w:spacing w:after="60"/>
        <w:ind w:left="480"/>
      </w:pPr>
      <w:hyperlink w:anchor="s31" w:history="1">
        <w:r>
          <w:rPr>
            <w:rStyle w:val="Hyperlink"/>
            <w:sz w:val="21"/>
            <w:szCs w:val="21"/>
          </w:rPr>
          <w:t>3.1 Overall Approach</w:t>
        </w:r>
      </w:hyperlink>
    </w:p>
    <w:p w14:paraId="05F231CF" w14:textId="77777777" w:rsidR="00AD43F1" w:rsidRDefault="00000000">
      <w:pPr>
        <w:spacing w:after="60"/>
        <w:ind w:left="480"/>
      </w:pPr>
      <w:hyperlink w:anchor="s32" w:history="1">
        <w:r>
          <w:rPr>
            <w:rStyle w:val="Hyperlink"/>
            <w:sz w:val="21"/>
            <w:szCs w:val="21"/>
          </w:rPr>
          <w:t>3.2 Wallets Chosen for This Research</w:t>
        </w:r>
      </w:hyperlink>
    </w:p>
    <w:p w14:paraId="376D78CA" w14:textId="77777777" w:rsidR="00AD43F1" w:rsidRDefault="00000000">
      <w:pPr>
        <w:spacing w:after="60"/>
        <w:ind w:left="480"/>
      </w:pPr>
      <w:hyperlink w:anchor="s33" w:history="1">
        <w:r>
          <w:rPr>
            <w:rStyle w:val="Hyperlink"/>
            <w:sz w:val="21"/>
            <w:szCs w:val="21"/>
          </w:rPr>
          <w:t>3.3 Test Device</w:t>
        </w:r>
      </w:hyperlink>
    </w:p>
    <w:p w14:paraId="7DBFA5C3" w14:textId="77777777" w:rsidR="00AD43F1" w:rsidRDefault="00000000">
      <w:pPr>
        <w:spacing w:after="60"/>
        <w:ind w:left="480"/>
      </w:pPr>
      <w:hyperlink w:anchor="s34" w:history="1">
        <w:r>
          <w:rPr>
            <w:rStyle w:val="Hyperlink"/>
            <w:sz w:val="21"/>
            <w:szCs w:val="21"/>
          </w:rPr>
          <w:t>3.4 Steps and Captures</w:t>
        </w:r>
      </w:hyperlink>
    </w:p>
    <w:p w14:paraId="3C471583" w14:textId="77777777" w:rsidR="00AD43F1" w:rsidRDefault="00000000">
      <w:pPr>
        <w:spacing w:after="60"/>
        <w:ind w:left="480"/>
      </w:pPr>
      <w:hyperlink w:anchor="s35" w:history="1">
        <w:r>
          <w:rPr>
            <w:rStyle w:val="Hyperlink"/>
            <w:sz w:val="21"/>
            <w:szCs w:val="21"/>
          </w:rPr>
          <w:t>3.5 Pilot Test</w:t>
        </w:r>
      </w:hyperlink>
    </w:p>
    <w:p w14:paraId="0E111D2E" w14:textId="77777777" w:rsidR="00AD43F1" w:rsidRDefault="00000000">
      <w:pPr>
        <w:spacing w:after="60"/>
        <w:ind w:left="480"/>
      </w:pPr>
      <w:hyperlink w:anchor="s36" w:history="1">
        <w:r>
          <w:rPr>
            <w:rStyle w:val="Hyperlink"/>
            <w:sz w:val="21"/>
            <w:szCs w:val="21"/>
          </w:rPr>
          <w:t>3.6 How Evidence is Captured</w:t>
        </w:r>
      </w:hyperlink>
    </w:p>
    <w:p w14:paraId="41993857" w14:textId="77777777" w:rsidR="00AD43F1" w:rsidRDefault="00000000">
      <w:pPr>
        <w:spacing w:after="60"/>
        <w:ind w:left="480"/>
      </w:pPr>
      <w:hyperlink w:anchor="s37" w:history="1">
        <w:r>
          <w:rPr>
            <w:rStyle w:val="Hyperlink"/>
            <w:sz w:val="21"/>
            <w:szCs w:val="21"/>
          </w:rPr>
          <w:t>3.7 Sorting the Evidence Found</w:t>
        </w:r>
      </w:hyperlink>
    </w:p>
    <w:p w14:paraId="2E133826" w14:textId="77777777" w:rsidR="00AD43F1" w:rsidRDefault="00000000">
      <w:pPr>
        <w:spacing w:after="60"/>
        <w:ind w:left="480"/>
      </w:pPr>
      <w:hyperlink w:anchor="s38" w:history="1">
        <w:r>
          <w:rPr>
            <w:rStyle w:val="Hyperlink"/>
            <w:sz w:val="21"/>
            <w:szCs w:val="21"/>
          </w:rPr>
          <w:t>3.8 How Much the Evidence Proves</w:t>
        </w:r>
      </w:hyperlink>
    </w:p>
    <w:p w14:paraId="325DDBC7" w14:textId="77777777" w:rsidR="00AD43F1" w:rsidRDefault="00000000">
      <w:pPr>
        <w:spacing w:after="60"/>
        <w:ind w:left="480"/>
      </w:pPr>
      <w:hyperlink w:anchor="s39" w:history="1">
        <w:r>
          <w:rPr>
            <w:rStyle w:val="Hyperlink"/>
            <w:sz w:val="21"/>
            <w:szCs w:val="21"/>
          </w:rPr>
          <w:t>3.9 Tools Used</w:t>
        </w:r>
      </w:hyperlink>
    </w:p>
    <w:p w14:paraId="55C53031" w14:textId="77777777" w:rsidR="00AD43F1" w:rsidRDefault="00000000">
      <w:pPr>
        <w:spacing w:after="60"/>
        <w:ind w:left="480"/>
      </w:pPr>
      <w:hyperlink w:anchor="s310" w:history="1">
        <w:r>
          <w:rPr>
            <w:rStyle w:val="Hyperlink"/>
            <w:sz w:val="21"/>
            <w:szCs w:val="21"/>
          </w:rPr>
          <w:t>3.10 Ethics</w:t>
        </w:r>
      </w:hyperlink>
    </w:p>
    <w:p w14:paraId="08D6ABE9" w14:textId="77777777" w:rsidR="00AD43F1" w:rsidRDefault="00000000">
      <w:pPr>
        <w:spacing w:after="60"/>
        <w:ind w:left="480"/>
      </w:pPr>
      <w:hyperlink w:anchor="s311" w:history="1">
        <w:r>
          <w:rPr>
            <w:rStyle w:val="Hyperlink"/>
            <w:sz w:val="21"/>
            <w:szCs w:val="21"/>
          </w:rPr>
          <w:t>3.11 Limits of This Study</w:t>
        </w:r>
      </w:hyperlink>
    </w:p>
    <w:p w14:paraId="2E8DB089" w14:textId="77777777" w:rsidR="00AD43F1" w:rsidRDefault="00000000">
      <w:pPr>
        <w:spacing w:before="160" w:after="120"/>
      </w:pPr>
      <w:hyperlink w:anchor="chap4" w:history="1">
        <w:r>
          <w:rPr>
            <w:rStyle w:val="Hyperlink"/>
            <w:b/>
            <w:bCs/>
          </w:rPr>
          <w:t>Chapter 4: Experiment Setup (not yet written)</w:t>
        </w:r>
      </w:hyperlink>
    </w:p>
    <w:p w14:paraId="0CBA35AA" w14:textId="77777777" w:rsidR="00AD43F1" w:rsidRDefault="00000000">
      <w:pPr>
        <w:spacing w:before="160" w:after="120"/>
      </w:pPr>
      <w:hyperlink w:anchor="chap5" w:history="1">
        <w:r>
          <w:rPr>
            <w:rStyle w:val="Hyperlink"/>
            <w:b/>
            <w:bCs/>
          </w:rPr>
          <w:t>Chapter 5: Results (not yet written)</w:t>
        </w:r>
      </w:hyperlink>
    </w:p>
    <w:p w14:paraId="5EA96F95" w14:textId="77777777" w:rsidR="00AD43F1" w:rsidRDefault="00000000">
      <w:pPr>
        <w:spacing w:before="160" w:after="120"/>
      </w:pPr>
      <w:hyperlink w:anchor="chap6" w:history="1">
        <w:r>
          <w:rPr>
            <w:rStyle w:val="Hyperlink"/>
            <w:b/>
            <w:bCs/>
          </w:rPr>
          <w:t>Chapter 6: Persistence Analysis (not yet written)</w:t>
        </w:r>
      </w:hyperlink>
    </w:p>
    <w:p w14:paraId="252A8325" w14:textId="77777777" w:rsidR="00AD43F1" w:rsidRDefault="00000000">
      <w:pPr>
        <w:spacing w:before="160" w:after="120"/>
      </w:pPr>
      <w:hyperlink w:anchor="chap7" w:history="1">
        <w:r>
          <w:rPr>
            <w:rStyle w:val="Hyperlink"/>
            <w:b/>
            <w:bCs/>
          </w:rPr>
          <w:t>Chapter 7: Evidential Value Discussion (not yet written)</w:t>
        </w:r>
      </w:hyperlink>
    </w:p>
    <w:p w14:paraId="6AF5D803" w14:textId="77777777" w:rsidR="00AD43F1" w:rsidRDefault="00000000">
      <w:pPr>
        <w:spacing w:before="160" w:after="120"/>
      </w:pPr>
      <w:hyperlink w:anchor="chap8" w:history="1">
        <w:r>
          <w:rPr>
            <w:rStyle w:val="Hyperlink"/>
            <w:b/>
            <w:bCs/>
          </w:rPr>
          <w:t>Chapter 8: Conclusion and Future Work (not yet written)</w:t>
        </w:r>
      </w:hyperlink>
    </w:p>
    <w:p w14:paraId="746CE66B" w14:textId="77777777" w:rsidR="00AD43F1" w:rsidRDefault="00000000">
      <w:pPr>
        <w:spacing w:before="160" w:after="120"/>
      </w:pPr>
      <w:hyperlink w:anchor="refs" w:history="1">
        <w:r>
          <w:rPr>
            <w:rStyle w:val="Hyperlink"/>
            <w:b/>
            <w:bCs/>
          </w:rPr>
          <w:t>References</w:t>
        </w:r>
      </w:hyperlink>
    </w:p>
    <w:p w14:paraId="10D09654" w14:textId="77777777" w:rsidR="00AD43F1" w:rsidRDefault="00000000">
      <w:pPr>
        <w:spacing w:before="160" w:after="120"/>
      </w:pPr>
      <w:hyperlink w:anchor="appA" w:history="1">
        <w:r>
          <w:rPr>
            <w:rStyle w:val="Hyperlink"/>
            <w:b/>
            <w:bCs/>
          </w:rPr>
          <w:t>Appendix A: Ethical Approval Letter</w:t>
        </w:r>
      </w:hyperlink>
    </w:p>
    <w:p w14:paraId="2D23C6F2" w14:textId="77777777" w:rsidR="00AD43F1" w:rsidRDefault="00000000">
      <w:pPr>
        <w:spacing w:before="160" w:after="120"/>
      </w:pPr>
      <w:hyperlink w:anchor="appB" w:history="1">
        <w:r>
          <w:rPr>
            <w:rStyle w:val="Hyperlink"/>
            <w:b/>
            <w:bCs/>
          </w:rPr>
          <w:t>Appendix B: Chain of Custody and Experiment Log Templates</w:t>
        </w:r>
      </w:hyperlink>
    </w:p>
    <w:p w14:paraId="5093EEC1" w14:textId="77777777" w:rsidR="00AD43F1" w:rsidRDefault="00000000">
      <w:pPr>
        <w:pStyle w:val="Heading1"/>
      </w:pPr>
      <w:bookmarkStart w:id="0" w:name="chap1"/>
      <w:r>
        <w:lastRenderedPageBreak/>
        <w:t>Chapter 1: Introduction</w:t>
      </w:r>
      <w:bookmarkEnd w:id="0"/>
    </w:p>
    <w:p w14:paraId="563B4ED5" w14:textId="77777777" w:rsidR="00AD43F1" w:rsidRDefault="00000000">
      <w:pPr>
        <w:pStyle w:val="Heading2"/>
      </w:pPr>
      <w:bookmarkStart w:id="1" w:name="s11"/>
      <w:r>
        <w:t>1.1 Background</w:t>
      </w:r>
      <w:bookmarkEnd w:id="1"/>
    </w:p>
    <w:p w14:paraId="3C4C30B9" w14:textId="77777777" w:rsidR="00AD43F1" w:rsidRDefault="00000000">
      <w:pPr>
        <w:spacing w:after="180" w:line="360" w:lineRule="auto"/>
      </w:pPr>
      <w:r>
        <w:t>More people use cryptocurrency wallet apps on their phones every year. These apps can connect a phone to real activity, showing who used it, which wallet address was used, who money was sent to, and when. This makes wallet apps a useful source of evidence in investigations such as fraud, money laundering, or ransomware payments.</w:t>
      </w:r>
    </w:p>
    <w:p w14:paraId="51F5FFE6" w14:textId="77777777" w:rsidR="00AD43F1" w:rsidRDefault="00000000">
      <w:pPr>
        <w:spacing w:after="180" w:line="360" w:lineRule="auto"/>
      </w:pPr>
      <w:r>
        <w:t xml:space="preserve">Mobile forensics already follows a general process with six main stages: keeping evidence safe, collecting it, examining it, </w:t>
      </w:r>
      <w:proofErr w:type="spellStart"/>
      <w:r>
        <w:t>analysing</w:t>
      </w:r>
      <w:proofErr w:type="spellEnd"/>
      <w:r>
        <w:t xml:space="preserve"> it, checking it is correct, and reporting it (National Institute of Standards and Technology, 2014). This thesis follows the same general </w:t>
      </w:r>
      <w:proofErr w:type="gramStart"/>
      <w:r>
        <w:t>process, but</w:t>
      </w:r>
      <w:proofErr w:type="gramEnd"/>
      <w:r>
        <w:t xml:space="preserve"> focuses it on cryptocurrency wallet apps specifically.</w:t>
      </w:r>
    </w:p>
    <w:p w14:paraId="6566FA76" w14:textId="77777777" w:rsidR="00AD43F1" w:rsidRDefault="00000000">
      <w:pPr>
        <w:spacing w:after="180" w:line="360" w:lineRule="auto"/>
      </w:pPr>
      <w:r>
        <w:t xml:space="preserve">Earlier research has shown that wallet apps do leave useful traces behind. Chang, Darcy, Choo, and Le-Khac (2022) found that Android Bitcoin and Dogecoin wallets can leave wallet IDs, transaction IDs, timestamps, email addresses, cookies, and login tokens on the device. This kind of research usually looks at a wallet app at one point in time. It does not test what happens after the user </w:t>
      </w:r>
      <w:proofErr w:type="gramStart"/>
      <w:r>
        <w:t>takes action</w:t>
      </w:r>
      <w:proofErr w:type="gramEnd"/>
      <w:r>
        <w:t xml:space="preserve">, such as logging out, deleting the wallet, or clearing the app's data. It also does not usually say how strong the evidence </w:t>
      </w:r>
      <w:proofErr w:type="gramStart"/>
      <w:r>
        <w:t>actually is</w:t>
      </w:r>
      <w:proofErr w:type="gramEnd"/>
      <w:r>
        <w:t>.</w:t>
      </w:r>
    </w:p>
    <w:p w14:paraId="3AA36DE3" w14:textId="77777777" w:rsidR="00AD43F1" w:rsidRDefault="00000000">
      <w:pPr>
        <w:pStyle w:val="Heading2"/>
      </w:pPr>
      <w:bookmarkStart w:id="2" w:name="s12"/>
      <w:r>
        <w:t>1.2 The Gap in Current Research</w:t>
      </w:r>
      <w:bookmarkEnd w:id="2"/>
    </w:p>
    <w:p w14:paraId="2ABB8252" w14:textId="0CC074BE" w:rsidR="00AD43F1" w:rsidRDefault="00000000">
      <w:pPr>
        <w:spacing w:after="180" w:line="360" w:lineRule="auto"/>
      </w:pPr>
      <w:r>
        <w:t xml:space="preserve">There is existing research that lists artefacts found in wallet apps. But there is not much research that compares several modern wallet apps, tests what survives after the user tries to remove </w:t>
      </w:r>
      <w:r w:rsidR="00293138">
        <w:t xml:space="preserve">data </w:t>
      </w:r>
      <w:proofErr w:type="gramStart"/>
      <w:r w:rsidR="00293138">
        <w:t>and</w:t>
      </w:r>
      <w:r>
        <w:t xml:space="preserve"> also</w:t>
      </w:r>
      <w:proofErr w:type="gramEnd"/>
      <w:r>
        <w:t xml:space="preserve"> judges how strong that evidence is. This thesis works on that gap.</w:t>
      </w:r>
    </w:p>
    <w:p w14:paraId="768349FE" w14:textId="77777777" w:rsidR="00AD43F1" w:rsidRDefault="00000000">
      <w:pPr>
        <w:pStyle w:val="Heading2"/>
      </w:pPr>
      <w:bookmarkStart w:id="3" w:name="s13"/>
      <w:r>
        <w:t>1.3 Aim</w:t>
      </w:r>
      <w:bookmarkEnd w:id="3"/>
    </w:p>
    <w:p w14:paraId="25BA9D0C" w14:textId="77777777" w:rsidR="00AD43F1" w:rsidRDefault="00000000">
      <w:pPr>
        <w:spacing w:after="180" w:line="360" w:lineRule="auto"/>
      </w:pPr>
      <w:r>
        <w:t xml:space="preserve">The aim of this thesis is to find, recover, sort, and judge the digital traces left behind by Android cryptocurrency wallet apps. The focus is on what survives after </w:t>
      </w:r>
      <w:r>
        <w:lastRenderedPageBreak/>
        <w:t xml:space="preserve">the user </w:t>
      </w:r>
      <w:proofErr w:type="gramStart"/>
      <w:r>
        <w:t>takes action</w:t>
      </w:r>
      <w:proofErr w:type="gramEnd"/>
      <w:r>
        <w:t>, and how useful that evidence is for showing who used a wallet, rebuilding a timeline of events, and supporting an investigation.</w:t>
      </w:r>
    </w:p>
    <w:p w14:paraId="03278DEF" w14:textId="77777777" w:rsidR="00AD43F1" w:rsidRDefault="00000000">
      <w:pPr>
        <w:pStyle w:val="Heading2"/>
      </w:pPr>
      <w:bookmarkStart w:id="4" w:name="s14"/>
      <w:r>
        <w:t>1.4 Research Questions</w:t>
      </w:r>
      <w:bookmarkEnd w:id="4"/>
    </w:p>
    <w:p w14:paraId="1F7CC29F" w14:textId="77777777" w:rsidR="00AD43F1" w:rsidRDefault="00000000">
      <w:pPr>
        <w:pStyle w:val="ListParagraph"/>
        <w:numPr>
          <w:ilvl w:val="0"/>
          <w:numId w:val="2"/>
        </w:numPr>
        <w:spacing w:after="120" w:line="360" w:lineRule="auto"/>
      </w:pPr>
      <w:r>
        <w:t>RQ1: What digital traces do Android cryptocurrency wallet apps leave behind during install, creating or importing a wallet, using it, syncing, logging out, deleting it, and uninstalling it?</w:t>
      </w:r>
    </w:p>
    <w:p w14:paraId="10431B78" w14:textId="77777777" w:rsidR="00AD43F1" w:rsidRDefault="00000000">
      <w:pPr>
        <w:pStyle w:val="ListParagraph"/>
        <w:numPr>
          <w:ilvl w:val="0"/>
          <w:numId w:val="2"/>
        </w:numPr>
        <w:spacing w:after="120" w:line="360" w:lineRule="auto"/>
      </w:pPr>
      <w:r>
        <w:t>RQ2: Which of these traces are still there after the user clears the cache, deletes the wallet, clears app storage, uninstalls and reinstalls the app, or backs up and restores the phone?</w:t>
      </w:r>
    </w:p>
    <w:p w14:paraId="79817C91" w14:textId="77777777" w:rsidR="00AD43F1" w:rsidRDefault="00000000">
      <w:pPr>
        <w:pStyle w:val="ListParagraph"/>
        <w:numPr>
          <w:ilvl w:val="0"/>
          <w:numId w:val="2"/>
        </w:numPr>
        <w:spacing w:after="120" w:line="360" w:lineRule="auto"/>
      </w:pPr>
      <w:r>
        <w:t>RQ3: How does the acquisition method used affect what can be recovered?</w:t>
      </w:r>
    </w:p>
    <w:p w14:paraId="7794CCCB" w14:textId="77777777" w:rsidR="00AD43F1" w:rsidRDefault="00000000">
      <w:pPr>
        <w:pStyle w:val="ListParagraph"/>
        <w:numPr>
          <w:ilvl w:val="0"/>
          <w:numId w:val="2"/>
        </w:numPr>
        <w:spacing w:after="120" w:line="360" w:lineRule="auto"/>
      </w:pPr>
      <w:r>
        <w:t xml:space="preserve">RQ4: How much can the recovered traces </w:t>
      </w:r>
      <w:proofErr w:type="gramStart"/>
      <w:r>
        <w:t>actually prove</w:t>
      </w:r>
      <w:proofErr w:type="gramEnd"/>
      <w:r>
        <w:t xml:space="preserve"> about who used the wallet, when, and what they did?</w:t>
      </w:r>
    </w:p>
    <w:p w14:paraId="22818D32" w14:textId="77777777" w:rsidR="00AD43F1" w:rsidRDefault="00000000">
      <w:pPr>
        <w:pStyle w:val="Heading2"/>
      </w:pPr>
      <w:bookmarkStart w:id="5" w:name="s15"/>
      <w:r>
        <w:t>1.5 Scope and Limits</w:t>
      </w:r>
      <w:bookmarkEnd w:id="5"/>
    </w:p>
    <w:p w14:paraId="5F127DF8" w14:textId="77777777" w:rsidR="00AD43F1" w:rsidRDefault="00000000">
      <w:pPr>
        <w:spacing w:after="180" w:line="360" w:lineRule="auto"/>
      </w:pPr>
      <w:r>
        <w:t>This thesis does not try to recover real private keys or seed phrases, and it does not try to break into real wallets. All testing uses wallets and test transactions created by the researcher on a test network, running on an Android emulator. If the university cannot give access to a commercial forensic tool such as Cellebrite or Magnet AXIOM, RQ3 will compare two simpler methods instead: basic access through ADB, and full access through a rooted emulator. Chapter 3 explains this in more detail.</w:t>
      </w:r>
    </w:p>
    <w:p w14:paraId="637785E2" w14:textId="77777777" w:rsidR="00AD43F1" w:rsidRDefault="00000000">
      <w:pPr>
        <w:pStyle w:val="Heading2"/>
      </w:pPr>
      <w:bookmarkStart w:id="6" w:name="s16"/>
      <w:r>
        <w:t xml:space="preserve">1.6 How This Thesis is </w:t>
      </w:r>
      <w:proofErr w:type="spellStart"/>
      <w:r>
        <w:t>Organised</w:t>
      </w:r>
      <w:bookmarkEnd w:id="6"/>
      <w:proofErr w:type="spellEnd"/>
    </w:p>
    <w:p w14:paraId="7B58136D" w14:textId="77777777" w:rsidR="00AD43F1" w:rsidRDefault="00000000">
      <w:pPr>
        <w:spacing w:after="180" w:line="360" w:lineRule="auto"/>
      </w:pPr>
      <w:r>
        <w:t xml:space="preserve">Chapter 2 looks at existing research on Android forensics, cryptocurrency wallets, Android storage and security, and how much digital evidence can prove. Chapter 3 explains the method used in this thesis, including which wallets were chosen, how testing was done, and how each piece of evidence is judged. The later chapters are not yet written, since they depend on test results that have not been collected </w:t>
      </w:r>
      <w:r>
        <w:lastRenderedPageBreak/>
        <w:t xml:space="preserve">yet. They will cover the full test setup, the results, what data survived, what the results </w:t>
      </w:r>
      <w:proofErr w:type="gramStart"/>
      <w:r>
        <w:t>actually prove</w:t>
      </w:r>
      <w:proofErr w:type="gramEnd"/>
      <w:r>
        <w:t>, and the conclusion.</w:t>
      </w:r>
    </w:p>
    <w:p w14:paraId="7CEE451D" w14:textId="77777777" w:rsidR="00AD43F1" w:rsidRDefault="00000000">
      <w:pPr>
        <w:pStyle w:val="Heading1"/>
      </w:pPr>
      <w:bookmarkStart w:id="7" w:name="chap2"/>
      <w:r>
        <w:lastRenderedPageBreak/>
        <w:t>Chapter 2: Literature Review</w:t>
      </w:r>
      <w:bookmarkEnd w:id="7"/>
    </w:p>
    <w:p w14:paraId="5BDE67CA" w14:textId="77777777" w:rsidR="00AD43F1" w:rsidRDefault="00000000">
      <w:pPr>
        <w:spacing w:after="180" w:line="360" w:lineRule="auto"/>
      </w:pPr>
      <w:r>
        <w:rPr>
          <w:i/>
          <w:iCs/>
          <w:color w:val="666666"/>
          <w:sz w:val="20"/>
          <w:szCs w:val="20"/>
        </w:rPr>
        <w:t>This chapter is a working draft. It covers the sources read so far. More sources still need to be read and added, especially on Android Keystore in more depth and on evidential value frameworks specifically written for digital forensics. Nothing in this chapter is a placeholder invented by anyone other than the researcher — every source named below is real and can be checked at the web address given in the reference list.</w:t>
      </w:r>
    </w:p>
    <w:p w14:paraId="7E408CC4" w14:textId="77777777" w:rsidR="00AD43F1" w:rsidRDefault="00000000">
      <w:pPr>
        <w:pStyle w:val="Heading2"/>
      </w:pPr>
      <w:bookmarkStart w:id="8" w:name="s21"/>
      <w:r>
        <w:t>2.1 How Mobile Forensics Works</w:t>
      </w:r>
      <w:bookmarkEnd w:id="8"/>
    </w:p>
    <w:p w14:paraId="0D6539FC" w14:textId="77777777" w:rsidR="00AD43F1" w:rsidRDefault="00000000">
      <w:pPr>
        <w:spacing w:after="180" w:line="360" w:lineRule="auto"/>
      </w:pPr>
      <w:r>
        <w:t xml:space="preserve">Mobile forensics follows a well-known process. The National Institute of Standards and Technology (2014) describes six main stages: preserving evidence, collecting it, examining it, </w:t>
      </w:r>
      <w:proofErr w:type="spellStart"/>
      <w:r>
        <w:t>analysing</w:t>
      </w:r>
      <w:proofErr w:type="spellEnd"/>
      <w:r>
        <w:t xml:space="preserve"> it, checking it, and reporting it. This thesis follows the same stages, applied specifically to Android wallet apps.</w:t>
      </w:r>
    </w:p>
    <w:p w14:paraId="7F6E38E8" w14:textId="77777777" w:rsidR="00AD43F1" w:rsidRDefault="00000000">
      <w:pPr>
        <w:pStyle w:val="Heading2"/>
      </w:pPr>
      <w:bookmarkStart w:id="9" w:name="s22"/>
      <w:r>
        <w:t>2.2 Android Storage and Security</w:t>
      </w:r>
      <w:bookmarkEnd w:id="9"/>
    </w:p>
    <w:p w14:paraId="428A1D9C" w14:textId="77777777" w:rsidR="00AD43F1" w:rsidRDefault="00000000">
      <w:pPr>
        <w:spacing w:after="180" w:line="360" w:lineRule="auto"/>
      </w:pPr>
      <w:r>
        <w:t xml:space="preserve">Android apps normally store data in a few standard places: shared preferences, SQLite databases, cache folders, and files that are excluded from backup. Since Android 10, most phones use file-based encryption, which protects some of this data before the phone is unlocked. </w:t>
      </w:r>
      <w:proofErr w:type="spellStart"/>
      <w:r>
        <w:t>Groß</w:t>
      </w:r>
      <w:proofErr w:type="spellEnd"/>
      <w:r>
        <w:t xml:space="preserve">, Busch, and Müller (2021) showed that Android's file-based encryption key can sometimes be recovered from RAM using a cold boot attack. This shows that even encrypted storage is not always completely out of reach for a forensic examiner, although this </w:t>
      </w:r>
      <w:proofErr w:type="gramStart"/>
      <w:r>
        <w:t>particular attack</w:t>
      </w:r>
      <w:proofErr w:type="gramEnd"/>
      <w:r>
        <w:t xml:space="preserve"> needs physical access to a powered-on device. More reading is still needed here on Android Keystore specifically.</w:t>
      </w:r>
    </w:p>
    <w:p w14:paraId="479EB0C7" w14:textId="77777777" w:rsidR="00AD43F1" w:rsidRDefault="00000000">
      <w:pPr>
        <w:pStyle w:val="Heading2"/>
      </w:pPr>
      <w:bookmarkStart w:id="10" w:name="s23"/>
      <w:r>
        <w:t>2.3 How Cryptocurrency Wallets Work</w:t>
      </w:r>
      <w:bookmarkEnd w:id="10"/>
    </w:p>
    <w:p w14:paraId="2DF0AA98" w14:textId="77777777" w:rsidR="00AD43F1" w:rsidRDefault="00000000">
      <w:pPr>
        <w:spacing w:after="180" w:line="360" w:lineRule="auto"/>
      </w:pPr>
      <w:r>
        <w:t xml:space="preserve">Non-custodial wallets, like the ones used in this thesis, create a wallet from a list of words called a seed phrase, following the BIP-39 standard (Palatinus, Rusnak, Voisine, &amp; Bowe, 2013). This seed phrase can regenerate the wallet's keys at any time, so how and where it is stored, or not stored, matters a lot for forensics. Wallets built for Ethereum and similar chains use one account model, while Bitcoin uses a different model based on individual transaction outputs (called UTXOs). </w:t>
      </w:r>
      <w:r>
        <w:lastRenderedPageBreak/>
        <w:t>This difference likely affects what kind of data each wallet app stores locally, though this needs to be confirmed by testing rather than assumed from the design alone.</w:t>
      </w:r>
    </w:p>
    <w:p w14:paraId="04CD5D11" w14:textId="77777777" w:rsidR="00AD43F1" w:rsidRDefault="00000000">
      <w:pPr>
        <w:pStyle w:val="Heading2"/>
      </w:pPr>
      <w:bookmarkStart w:id="11" w:name="s24"/>
      <w:r>
        <w:t>2.4 Earlier Studies on Wallet App Forensics</w:t>
      </w:r>
      <w:bookmarkEnd w:id="11"/>
    </w:p>
    <w:p w14:paraId="55781277" w14:textId="77777777" w:rsidR="00AD43F1" w:rsidRDefault="00000000">
      <w:pPr>
        <w:spacing w:after="180" w:line="360" w:lineRule="auto"/>
      </w:pPr>
      <w:r>
        <w:t>Chang, Darcy, Choo, and Le-Khac (2022) showed that Android Bitcoin and Dogecoin wallets can leave behind wallet IDs, transaction IDs, timestamps, email addresses, cookies, and login tokens. This is one of the few studies that looks closely at what a wallet app leaves on an Android device, and it is a direct foundation for this thesis. Even so, it looks at the device at one point in time. It does not test what survives after the user deletes data or uninstalls the app. This thesis builds on that gap directly.</w:t>
      </w:r>
    </w:p>
    <w:p w14:paraId="7A694F65" w14:textId="77777777" w:rsidR="00AD43F1" w:rsidRDefault="00000000">
      <w:pPr>
        <w:pStyle w:val="Heading2"/>
      </w:pPr>
      <w:bookmarkStart w:id="12" w:name="s25"/>
      <w:r>
        <w:t>2.5 Blockchain Evidence and Linking a Wallet to a Person</w:t>
      </w:r>
      <w:bookmarkEnd w:id="12"/>
    </w:p>
    <w:p w14:paraId="3517D2AC" w14:textId="77777777" w:rsidR="00AD43F1" w:rsidRDefault="00000000">
      <w:pPr>
        <w:spacing w:after="180" w:line="360" w:lineRule="auto"/>
      </w:pPr>
      <w:r>
        <w:t>On the blockchain side, a technique called address clustering groups wallet addresses that likely belong to the same person or group, based on patterns in how they are used in transactions (</w:t>
      </w:r>
      <w:proofErr w:type="spellStart"/>
      <w:r>
        <w:t>Möser</w:t>
      </w:r>
      <w:proofErr w:type="spellEnd"/>
      <w:r>
        <w:t xml:space="preserve"> &amp; Narayanan, 2021). This is useful, but it is based on probability, not proof. It can be wrong, especially as more people use privacy tools that break these patterns. This matters for this thesis because it shows that blockchain data alone is not enough proof by itself. It needs to be combined with what is found on the device.</w:t>
      </w:r>
    </w:p>
    <w:p w14:paraId="6DF9E96C" w14:textId="77777777" w:rsidR="00AD43F1" w:rsidRDefault="00000000">
      <w:pPr>
        <w:pStyle w:val="Heading2"/>
      </w:pPr>
      <w:bookmarkStart w:id="13" w:name="s26"/>
      <w:r>
        <w:t>2.6 How Much Digital Evidence Can Prove</w:t>
      </w:r>
      <w:bookmarkEnd w:id="13"/>
    </w:p>
    <w:p w14:paraId="277CC561" w14:textId="77777777" w:rsidR="00AD43F1" w:rsidRDefault="00000000">
      <w:pPr>
        <w:spacing w:after="180" w:line="360" w:lineRule="auto"/>
      </w:pPr>
      <w:r>
        <w:t xml:space="preserve">Digital evidence is only useful in an investigation if it is reliable and its source can be trusted. Courts generally expect evidence to be shown as authentic, reliable, complete, and properly handled from collection through to reporting. This thesis uses that same thinking to build a simple scoring system in Chapter 3, which separates evidence that only shows a link between a device and a wallet from evidence that could support a stronger claim, such as who was </w:t>
      </w:r>
      <w:proofErr w:type="gramStart"/>
      <w:r>
        <w:t>actually in</w:t>
      </w:r>
      <w:proofErr w:type="gramEnd"/>
      <w:r>
        <w:t xml:space="preserve"> control of that wallet. More reading is still needed here on evidential value frameworks written specifically for digital forensics.</w:t>
      </w:r>
    </w:p>
    <w:p w14:paraId="78ACD85A" w14:textId="77777777" w:rsidR="00AD43F1" w:rsidRDefault="00000000">
      <w:pPr>
        <w:pStyle w:val="Heading2"/>
      </w:pPr>
      <w:bookmarkStart w:id="14" w:name="s27"/>
      <w:r>
        <w:lastRenderedPageBreak/>
        <w:t>2.7 Where This Leaves This Thesis</w:t>
      </w:r>
      <w:bookmarkEnd w:id="14"/>
    </w:p>
    <w:p w14:paraId="19F4E4CA" w14:textId="77777777" w:rsidR="00AD43F1" w:rsidRDefault="00000000">
      <w:pPr>
        <w:spacing w:after="180" w:line="360" w:lineRule="auto"/>
      </w:pPr>
      <w:r>
        <w:t>The research so far shows that wallet apps do leave useful evidence behind, but most existing work stops at listing what can be found. It does not test what survives afterwards, and it does not usually say how much the evidence proves. This is the gap this thesis works on, using the four research questions set out in Chapter 1.</w:t>
      </w:r>
    </w:p>
    <w:p w14:paraId="62F9E908" w14:textId="77777777" w:rsidR="00AD43F1" w:rsidRDefault="00000000">
      <w:pPr>
        <w:pStyle w:val="Heading1"/>
      </w:pPr>
      <w:bookmarkStart w:id="15" w:name="chap3"/>
      <w:r>
        <w:lastRenderedPageBreak/>
        <w:t>Chapter 3: Methodology</w:t>
      </w:r>
      <w:bookmarkEnd w:id="15"/>
    </w:p>
    <w:p w14:paraId="286DB4F8" w14:textId="77777777" w:rsidR="00AD43F1" w:rsidRDefault="00000000">
      <w:pPr>
        <w:pStyle w:val="Heading2"/>
      </w:pPr>
      <w:bookmarkStart w:id="16" w:name="s31"/>
      <w:r>
        <w:t>3.1 Overall Approach</w:t>
      </w:r>
      <w:bookmarkEnd w:id="16"/>
    </w:p>
    <w:p w14:paraId="13C45880" w14:textId="77777777" w:rsidR="00AD43F1" w:rsidRDefault="00000000">
      <w:pPr>
        <w:spacing w:after="180" w:line="360" w:lineRule="auto"/>
      </w:pPr>
      <w:r>
        <w:t>This thesis uses a controlled experiment. Each wallet app goes through the same fixed set of steps, on the same test device, and a forensic capture is taken after every step. This makes it possible to see exactly when an artefact first appears, and whether it survives later steps like logout or deletion. The same steps are repeated for each app, so the three apps can be fairly compared with each other.</w:t>
      </w:r>
    </w:p>
    <w:p w14:paraId="6E83E822" w14:textId="77777777" w:rsidR="00AD43F1" w:rsidRDefault="00000000">
      <w:pPr>
        <w:pStyle w:val="Heading2"/>
      </w:pPr>
      <w:bookmarkStart w:id="17" w:name="s32"/>
      <w:r>
        <w:t>3.2 Wallets Chosen for This Research</w:t>
      </w:r>
      <w:bookmarkEnd w:id="17"/>
    </w:p>
    <w:p w14:paraId="556D650C" w14:textId="77777777" w:rsidR="00AD43F1" w:rsidRDefault="00000000">
      <w:pPr>
        <w:spacing w:after="180" w:line="360" w:lineRule="auto"/>
      </w:pPr>
      <w:r>
        <w:t>Three wallet apps have been chosen for testing.</w:t>
      </w:r>
    </w:p>
    <w:p w14:paraId="60CA7192" w14:textId="77777777" w:rsidR="00AD43F1" w:rsidRDefault="00000000">
      <w:pPr>
        <w:pStyle w:val="ListParagraph"/>
        <w:numPr>
          <w:ilvl w:val="0"/>
          <w:numId w:val="2"/>
        </w:numPr>
        <w:spacing w:after="120" w:line="360" w:lineRule="auto"/>
      </w:pPr>
      <w:r>
        <w:t>MetaMask — an Ethereum-based wallet. It represents wallets that work on Ethereum and similar chains, known as EVM chains.</w:t>
      </w:r>
    </w:p>
    <w:p w14:paraId="5173E3AD" w14:textId="77777777" w:rsidR="00AD43F1" w:rsidRDefault="00000000">
      <w:pPr>
        <w:pStyle w:val="ListParagraph"/>
        <w:numPr>
          <w:ilvl w:val="0"/>
          <w:numId w:val="2"/>
        </w:numPr>
        <w:spacing w:after="120" w:line="360" w:lineRule="auto"/>
      </w:pPr>
      <w:r>
        <w:t>Trust Wallet — a multi-chain wallet. It represents apps that manage several different blockchains inside one app.</w:t>
      </w:r>
    </w:p>
    <w:p w14:paraId="65F2446E" w14:textId="77777777" w:rsidR="00AD43F1" w:rsidRDefault="00000000">
      <w:pPr>
        <w:pStyle w:val="ListParagraph"/>
        <w:numPr>
          <w:ilvl w:val="0"/>
          <w:numId w:val="2"/>
        </w:numPr>
        <w:spacing w:after="120" w:line="360" w:lineRule="auto"/>
      </w:pPr>
      <w:proofErr w:type="spellStart"/>
      <w:r>
        <w:t>BlueWallet</w:t>
      </w:r>
      <w:proofErr w:type="spellEnd"/>
      <w:r>
        <w:t xml:space="preserve"> — a Bitcoin wallet. It represents wallets that follow Bitcoin's different transaction model, known as UTXO.</w:t>
      </w:r>
    </w:p>
    <w:p w14:paraId="1A380EF9" w14:textId="77777777" w:rsidR="00AD43F1" w:rsidRDefault="00000000">
      <w:pPr>
        <w:spacing w:after="180" w:line="360" w:lineRule="auto"/>
      </w:pPr>
      <w:r>
        <w:t>All three are non-custodial wallets. This means the user holds their own keys on the device, instead of the wallet provider holding them on a server. This matters because the evidence in this thesis comes from the device itself, not from a company's servers. Exactly how each app stores its data on the phone will be checked directly during testing, rather than assumed from how the app is built.</w:t>
      </w:r>
    </w:p>
    <w:p w14:paraId="73A32638" w14:textId="77777777" w:rsidR="00AD43F1" w:rsidRDefault="00000000">
      <w:pPr>
        <w:pStyle w:val="Heading2"/>
      </w:pPr>
      <w:bookmarkStart w:id="18" w:name="s33"/>
      <w:r>
        <w:t>3.3 Test Device</w:t>
      </w:r>
      <w:bookmarkEnd w:id="18"/>
    </w:p>
    <w:p w14:paraId="54FE2249" w14:textId="77777777" w:rsidR="00AD43F1" w:rsidRDefault="00000000">
      <w:pPr>
        <w:spacing w:after="180" w:line="360" w:lineRule="auto"/>
      </w:pPr>
      <w:r>
        <w:t>Testing uses an Android emulator, a virtual Android phone run on a computer, rather than a real phone. This makes it easy to reset the device to a clean state before each test, and to use a rooted image, which gives full access to each app's private storage. The exact Android version and emulator settings used will be recorded, so the test can be repeated exactly by someone else.</w:t>
      </w:r>
    </w:p>
    <w:p w14:paraId="34763299" w14:textId="77777777" w:rsidR="00AD43F1" w:rsidRDefault="00000000">
      <w:pPr>
        <w:pStyle w:val="Heading2"/>
      </w:pPr>
      <w:bookmarkStart w:id="19" w:name="s34"/>
      <w:r>
        <w:lastRenderedPageBreak/>
        <w:t>3.4 Steps and Captures</w:t>
      </w:r>
      <w:bookmarkEnd w:id="19"/>
    </w:p>
    <w:p w14:paraId="357FD686" w14:textId="77777777" w:rsidR="00AD43F1" w:rsidRDefault="00000000">
      <w:pPr>
        <w:spacing w:after="180" w:line="360" w:lineRule="auto"/>
      </w:pPr>
      <w:r>
        <w:t>Each wallet app is taken through the same 13 steps, listed below. A forensic capture is taken at every step.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5600"/>
        <w:gridCol w:w="1360"/>
      </w:tblGrid>
      <w:tr w:rsidR="00AD43F1" w14:paraId="7FDCD666" w14:textId="77777777">
        <w:tblPrEx>
          <w:tblCellMar>
            <w:top w:w="0" w:type="dxa"/>
            <w:bottom w:w="0" w:type="dxa"/>
          </w:tblCellMar>
        </w:tblPrEx>
        <w:trPr>
          <w:tblHeader/>
        </w:trPr>
        <w:tc>
          <w:tcPr>
            <w:tcW w:w="2400" w:type="dxa"/>
            <w:tcBorders>
              <w:top w:val="single" w:sz="2" w:space="0" w:color="CFCFCF"/>
              <w:left w:val="single" w:sz="2" w:space="0" w:color="CFCFCF"/>
              <w:bottom w:val="single" w:sz="2" w:space="0" w:color="CFCFCF"/>
              <w:right w:val="single" w:sz="2" w:space="0" w:color="CFCFCF"/>
            </w:tcBorders>
            <w:shd w:val="clear" w:color="auto" w:fill="1F3864"/>
            <w:tcMar>
              <w:top w:w="80" w:type="dxa"/>
              <w:left w:w="120" w:type="dxa"/>
              <w:bottom w:w="80" w:type="dxa"/>
              <w:right w:w="120" w:type="dxa"/>
            </w:tcMar>
            <w:vAlign w:val="center"/>
          </w:tcPr>
          <w:p w14:paraId="04559C57" w14:textId="77777777" w:rsidR="00AD43F1" w:rsidRDefault="00000000">
            <w:r>
              <w:rPr>
                <w:b/>
                <w:bCs/>
                <w:color w:val="FFFFFF"/>
                <w:sz w:val="20"/>
                <w:szCs w:val="20"/>
              </w:rPr>
              <w:t>Step</w:t>
            </w:r>
          </w:p>
        </w:tc>
        <w:tc>
          <w:tcPr>
            <w:tcW w:w="5600" w:type="dxa"/>
            <w:tcBorders>
              <w:top w:val="single" w:sz="2" w:space="0" w:color="CFCFCF"/>
              <w:left w:val="single" w:sz="2" w:space="0" w:color="CFCFCF"/>
              <w:bottom w:val="single" w:sz="2" w:space="0" w:color="CFCFCF"/>
              <w:right w:val="single" w:sz="2" w:space="0" w:color="CFCFCF"/>
            </w:tcBorders>
            <w:shd w:val="clear" w:color="auto" w:fill="1F3864"/>
            <w:tcMar>
              <w:top w:w="80" w:type="dxa"/>
              <w:left w:w="120" w:type="dxa"/>
              <w:bottom w:w="80" w:type="dxa"/>
              <w:right w:w="120" w:type="dxa"/>
            </w:tcMar>
            <w:vAlign w:val="center"/>
          </w:tcPr>
          <w:p w14:paraId="635B57EC" w14:textId="77777777" w:rsidR="00AD43F1" w:rsidRDefault="00000000">
            <w:r>
              <w:rPr>
                <w:b/>
                <w:bCs/>
                <w:color w:val="FFFFFF"/>
                <w:sz w:val="20"/>
                <w:szCs w:val="20"/>
              </w:rPr>
              <w:t>What is done</w:t>
            </w:r>
          </w:p>
        </w:tc>
        <w:tc>
          <w:tcPr>
            <w:tcW w:w="1360" w:type="dxa"/>
            <w:tcBorders>
              <w:top w:val="single" w:sz="2" w:space="0" w:color="CFCFCF"/>
              <w:left w:val="single" w:sz="2" w:space="0" w:color="CFCFCF"/>
              <w:bottom w:val="single" w:sz="2" w:space="0" w:color="CFCFCF"/>
              <w:right w:val="single" w:sz="2" w:space="0" w:color="CFCFCF"/>
            </w:tcBorders>
            <w:shd w:val="clear" w:color="auto" w:fill="1F3864"/>
            <w:tcMar>
              <w:top w:w="80" w:type="dxa"/>
              <w:left w:w="120" w:type="dxa"/>
              <w:bottom w:w="80" w:type="dxa"/>
              <w:right w:w="120" w:type="dxa"/>
            </w:tcMar>
            <w:vAlign w:val="center"/>
          </w:tcPr>
          <w:p w14:paraId="4248D9EB" w14:textId="77777777" w:rsidR="00AD43F1" w:rsidRDefault="00000000">
            <w:r>
              <w:rPr>
                <w:b/>
                <w:bCs/>
                <w:color w:val="FFFFFF"/>
                <w:sz w:val="20"/>
                <w:szCs w:val="20"/>
              </w:rPr>
              <w:t>Capture point</w:t>
            </w:r>
          </w:p>
        </w:tc>
      </w:tr>
      <w:tr w:rsidR="00AD43F1" w14:paraId="4DC0E1D1" w14:textId="77777777">
        <w:tblPrEx>
          <w:tblCellMar>
            <w:top w:w="0" w:type="dxa"/>
            <w:bottom w:w="0" w:type="dxa"/>
          </w:tblCellMar>
        </w:tblPrEx>
        <w:tc>
          <w:tcPr>
            <w:tcW w:w="2400" w:type="dxa"/>
            <w:tcBorders>
              <w:top w:val="single" w:sz="2" w:space="0" w:color="CFCFCF"/>
              <w:left w:val="single" w:sz="2" w:space="0" w:color="CFCFCF"/>
              <w:bottom w:val="single" w:sz="2" w:space="0" w:color="CFCFCF"/>
              <w:right w:val="single" w:sz="2" w:space="0" w:color="CFCFCF"/>
            </w:tcBorders>
            <w:tcMar>
              <w:top w:w="80" w:type="dxa"/>
              <w:left w:w="120" w:type="dxa"/>
              <w:bottom w:w="80" w:type="dxa"/>
              <w:right w:w="120" w:type="dxa"/>
            </w:tcMar>
            <w:vAlign w:val="center"/>
          </w:tcPr>
          <w:p w14:paraId="5619F293" w14:textId="77777777" w:rsidR="00AD43F1" w:rsidRDefault="00000000">
            <w:r>
              <w:rPr>
                <w:sz w:val="20"/>
                <w:szCs w:val="20"/>
              </w:rPr>
              <w:t>Baseline</w:t>
            </w:r>
          </w:p>
        </w:tc>
        <w:tc>
          <w:tcPr>
            <w:tcW w:w="5600" w:type="dxa"/>
            <w:tcBorders>
              <w:top w:val="single" w:sz="2" w:space="0" w:color="CFCFCF"/>
              <w:left w:val="single" w:sz="2" w:space="0" w:color="CFCFCF"/>
              <w:bottom w:val="single" w:sz="2" w:space="0" w:color="CFCFCF"/>
              <w:right w:val="single" w:sz="2" w:space="0" w:color="CFCFCF"/>
            </w:tcBorders>
            <w:tcMar>
              <w:top w:w="80" w:type="dxa"/>
              <w:left w:w="120" w:type="dxa"/>
              <w:bottom w:w="80" w:type="dxa"/>
              <w:right w:w="120" w:type="dxa"/>
            </w:tcMar>
            <w:vAlign w:val="center"/>
          </w:tcPr>
          <w:p w14:paraId="3C7BE46B" w14:textId="77777777" w:rsidR="00AD43F1" w:rsidRDefault="00000000">
            <w:r>
              <w:rPr>
                <w:sz w:val="20"/>
                <w:szCs w:val="20"/>
              </w:rPr>
              <w:t>Fresh emulator, no wallet app installed yet</w:t>
            </w:r>
          </w:p>
        </w:tc>
        <w:tc>
          <w:tcPr>
            <w:tcW w:w="1360" w:type="dxa"/>
            <w:tcBorders>
              <w:top w:val="single" w:sz="2" w:space="0" w:color="CFCFCF"/>
              <w:left w:val="single" w:sz="2" w:space="0" w:color="CFCFCF"/>
              <w:bottom w:val="single" w:sz="2" w:space="0" w:color="CFCFCF"/>
              <w:right w:val="single" w:sz="2" w:space="0" w:color="CFCFCF"/>
            </w:tcBorders>
            <w:tcMar>
              <w:top w:w="80" w:type="dxa"/>
              <w:left w:w="120" w:type="dxa"/>
              <w:bottom w:w="80" w:type="dxa"/>
              <w:right w:w="120" w:type="dxa"/>
            </w:tcMar>
            <w:vAlign w:val="center"/>
          </w:tcPr>
          <w:p w14:paraId="77F6AFBD" w14:textId="77777777" w:rsidR="00AD43F1" w:rsidRDefault="00000000">
            <w:r>
              <w:rPr>
                <w:sz w:val="20"/>
                <w:szCs w:val="20"/>
              </w:rPr>
              <w:t>A0</w:t>
            </w:r>
          </w:p>
        </w:tc>
      </w:tr>
      <w:tr w:rsidR="00AD43F1" w14:paraId="36CAC567" w14:textId="77777777">
        <w:tblPrEx>
          <w:tblCellMar>
            <w:top w:w="0" w:type="dxa"/>
            <w:bottom w:w="0" w:type="dxa"/>
          </w:tblCellMar>
        </w:tblPrEx>
        <w:tc>
          <w:tcPr>
            <w:tcW w:w="2400" w:type="dxa"/>
            <w:tcBorders>
              <w:top w:val="single" w:sz="2" w:space="0" w:color="CFCFCF"/>
              <w:left w:val="single" w:sz="2" w:space="0" w:color="CFCFCF"/>
              <w:bottom w:val="single" w:sz="2" w:space="0" w:color="CFCFCF"/>
              <w:right w:val="single" w:sz="2" w:space="0" w:color="CFCFCF"/>
            </w:tcBorders>
            <w:shd w:val="clear" w:color="auto" w:fill="F2F5FA"/>
            <w:tcMar>
              <w:top w:w="80" w:type="dxa"/>
              <w:left w:w="120" w:type="dxa"/>
              <w:bottom w:w="80" w:type="dxa"/>
              <w:right w:w="120" w:type="dxa"/>
            </w:tcMar>
            <w:vAlign w:val="center"/>
          </w:tcPr>
          <w:p w14:paraId="7BA3E803" w14:textId="77777777" w:rsidR="00AD43F1" w:rsidRDefault="00000000">
            <w:r>
              <w:rPr>
                <w:sz w:val="20"/>
                <w:szCs w:val="20"/>
              </w:rPr>
              <w:t>Install</w:t>
            </w:r>
          </w:p>
        </w:tc>
        <w:tc>
          <w:tcPr>
            <w:tcW w:w="5600" w:type="dxa"/>
            <w:tcBorders>
              <w:top w:val="single" w:sz="2" w:space="0" w:color="CFCFCF"/>
              <w:left w:val="single" w:sz="2" w:space="0" w:color="CFCFCF"/>
              <w:bottom w:val="single" w:sz="2" w:space="0" w:color="CFCFCF"/>
              <w:right w:val="single" w:sz="2" w:space="0" w:color="CFCFCF"/>
            </w:tcBorders>
            <w:shd w:val="clear" w:color="auto" w:fill="F2F5FA"/>
            <w:tcMar>
              <w:top w:w="80" w:type="dxa"/>
              <w:left w:w="120" w:type="dxa"/>
              <w:bottom w:w="80" w:type="dxa"/>
              <w:right w:w="120" w:type="dxa"/>
            </w:tcMar>
            <w:vAlign w:val="center"/>
          </w:tcPr>
          <w:p w14:paraId="5A08BA2B" w14:textId="77777777" w:rsidR="00AD43F1" w:rsidRDefault="00000000">
            <w:r>
              <w:rPr>
                <w:sz w:val="20"/>
                <w:szCs w:val="20"/>
              </w:rPr>
              <w:t>Install the wallet app, no account created yet</w:t>
            </w:r>
          </w:p>
        </w:tc>
        <w:tc>
          <w:tcPr>
            <w:tcW w:w="1360" w:type="dxa"/>
            <w:tcBorders>
              <w:top w:val="single" w:sz="2" w:space="0" w:color="CFCFCF"/>
              <w:left w:val="single" w:sz="2" w:space="0" w:color="CFCFCF"/>
              <w:bottom w:val="single" w:sz="2" w:space="0" w:color="CFCFCF"/>
              <w:right w:val="single" w:sz="2" w:space="0" w:color="CFCFCF"/>
            </w:tcBorders>
            <w:shd w:val="clear" w:color="auto" w:fill="F2F5FA"/>
            <w:tcMar>
              <w:top w:w="80" w:type="dxa"/>
              <w:left w:w="120" w:type="dxa"/>
              <w:bottom w:w="80" w:type="dxa"/>
              <w:right w:w="120" w:type="dxa"/>
            </w:tcMar>
            <w:vAlign w:val="center"/>
          </w:tcPr>
          <w:p w14:paraId="1BDADFDC" w14:textId="77777777" w:rsidR="00AD43F1" w:rsidRDefault="00000000">
            <w:r>
              <w:rPr>
                <w:sz w:val="20"/>
                <w:szCs w:val="20"/>
              </w:rPr>
              <w:t>A1</w:t>
            </w:r>
          </w:p>
        </w:tc>
      </w:tr>
      <w:tr w:rsidR="00AD43F1" w14:paraId="6A9A0040" w14:textId="77777777">
        <w:tblPrEx>
          <w:tblCellMar>
            <w:top w:w="0" w:type="dxa"/>
            <w:bottom w:w="0" w:type="dxa"/>
          </w:tblCellMar>
        </w:tblPrEx>
        <w:tc>
          <w:tcPr>
            <w:tcW w:w="2400" w:type="dxa"/>
            <w:tcBorders>
              <w:top w:val="single" w:sz="2" w:space="0" w:color="CFCFCF"/>
              <w:left w:val="single" w:sz="2" w:space="0" w:color="CFCFCF"/>
              <w:bottom w:val="single" w:sz="2" w:space="0" w:color="CFCFCF"/>
              <w:right w:val="single" w:sz="2" w:space="0" w:color="CFCFCF"/>
            </w:tcBorders>
            <w:tcMar>
              <w:top w:w="80" w:type="dxa"/>
              <w:left w:w="120" w:type="dxa"/>
              <w:bottom w:w="80" w:type="dxa"/>
              <w:right w:w="120" w:type="dxa"/>
            </w:tcMar>
            <w:vAlign w:val="center"/>
          </w:tcPr>
          <w:p w14:paraId="1C03C907" w14:textId="77777777" w:rsidR="00AD43F1" w:rsidRDefault="00000000">
            <w:r>
              <w:rPr>
                <w:sz w:val="20"/>
                <w:szCs w:val="20"/>
              </w:rPr>
              <w:t>Create wallet</w:t>
            </w:r>
          </w:p>
        </w:tc>
        <w:tc>
          <w:tcPr>
            <w:tcW w:w="5600" w:type="dxa"/>
            <w:tcBorders>
              <w:top w:val="single" w:sz="2" w:space="0" w:color="CFCFCF"/>
              <w:left w:val="single" w:sz="2" w:space="0" w:color="CFCFCF"/>
              <w:bottom w:val="single" w:sz="2" w:space="0" w:color="CFCFCF"/>
              <w:right w:val="single" w:sz="2" w:space="0" w:color="CFCFCF"/>
            </w:tcBorders>
            <w:tcMar>
              <w:top w:w="80" w:type="dxa"/>
              <w:left w:w="120" w:type="dxa"/>
              <w:bottom w:w="80" w:type="dxa"/>
              <w:right w:w="120" w:type="dxa"/>
            </w:tcMar>
            <w:vAlign w:val="center"/>
          </w:tcPr>
          <w:p w14:paraId="5843C564" w14:textId="77777777" w:rsidR="00AD43F1" w:rsidRDefault="00000000">
            <w:r>
              <w:rPr>
                <w:sz w:val="20"/>
                <w:szCs w:val="20"/>
              </w:rPr>
              <w:t>Create a new test wallet, set a PIN or fingerprint lock if available</w:t>
            </w:r>
          </w:p>
        </w:tc>
        <w:tc>
          <w:tcPr>
            <w:tcW w:w="1360" w:type="dxa"/>
            <w:tcBorders>
              <w:top w:val="single" w:sz="2" w:space="0" w:color="CFCFCF"/>
              <w:left w:val="single" w:sz="2" w:space="0" w:color="CFCFCF"/>
              <w:bottom w:val="single" w:sz="2" w:space="0" w:color="CFCFCF"/>
              <w:right w:val="single" w:sz="2" w:space="0" w:color="CFCFCF"/>
            </w:tcBorders>
            <w:tcMar>
              <w:top w:w="80" w:type="dxa"/>
              <w:left w:w="120" w:type="dxa"/>
              <w:bottom w:w="80" w:type="dxa"/>
              <w:right w:w="120" w:type="dxa"/>
            </w:tcMar>
            <w:vAlign w:val="center"/>
          </w:tcPr>
          <w:p w14:paraId="3AF881D8" w14:textId="77777777" w:rsidR="00AD43F1" w:rsidRDefault="00000000">
            <w:r>
              <w:rPr>
                <w:sz w:val="20"/>
                <w:szCs w:val="20"/>
              </w:rPr>
              <w:t>A2</w:t>
            </w:r>
          </w:p>
        </w:tc>
      </w:tr>
      <w:tr w:rsidR="00AD43F1" w14:paraId="19861682" w14:textId="77777777">
        <w:tblPrEx>
          <w:tblCellMar>
            <w:top w:w="0" w:type="dxa"/>
            <w:bottom w:w="0" w:type="dxa"/>
          </w:tblCellMar>
        </w:tblPrEx>
        <w:tc>
          <w:tcPr>
            <w:tcW w:w="2400" w:type="dxa"/>
            <w:tcBorders>
              <w:top w:val="single" w:sz="2" w:space="0" w:color="CFCFCF"/>
              <w:left w:val="single" w:sz="2" w:space="0" w:color="CFCFCF"/>
              <w:bottom w:val="single" w:sz="2" w:space="0" w:color="CFCFCF"/>
              <w:right w:val="single" w:sz="2" w:space="0" w:color="CFCFCF"/>
            </w:tcBorders>
            <w:shd w:val="clear" w:color="auto" w:fill="F2F5FA"/>
            <w:tcMar>
              <w:top w:w="80" w:type="dxa"/>
              <w:left w:w="120" w:type="dxa"/>
              <w:bottom w:w="80" w:type="dxa"/>
              <w:right w:w="120" w:type="dxa"/>
            </w:tcMar>
            <w:vAlign w:val="center"/>
          </w:tcPr>
          <w:p w14:paraId="31088DB6" w14:textId="77777777" w:rsidR="00AD43F1" w:rsidRDefault="00000000">
            <w:r>
              <w:rPr>
                <w:sz w:val="20"/>
                <w:szCs w:val="20"/>
              </w:rPr>
              <w:t>Import wallet</w:t>
            </w:r>
          </w:p>
        </w:tc>
        <w:tc>
          <w:tcPr>
            <w:tcW w:w="5600" w:type="dxa"/>
            <w:tcBorders>
              <w:top w:val="single" w:sz="2" w:space="0" w:color="CFCFCF"/>
              <w:left w:val="single" w:sz="2" w:space="0" w:color="CFCFCF"/>
              <w:bottom w:val="single" w:sz="2" w:space="0" w:color="CFCFCF"/>
              <w:right w:val="single" w:sz="2" w:space="0" w:color="CFCFCF"/>
            </w:tcBorders>
            <w:shd w:val="clear" w:color="auto" w:fill="F2F5FA"/>
            <w:tcMar>
              <w:top w:w="80" w:type="dxa"/>
              <w:left w:w="120" w:type="dxa"/>
              <w:bottom w:w="80" w:type="dxa"/>
              <w:right w:w="120" w:type="dxa"/>
            </w:tcMar>
            <w:vAlign w:val="center"/>
          </w:tcPr>
          <w:p w14:paraId="30315FA0" w14:textId="77777777" w:rsidR="00AD43F1" w:rsidRDefault="00000000">
            <w:r>
              <w:rPr>
                <w:sz w:val="20"/>
                <w:szCs w:val="20"/>
              </w:rPr>
              <w:t>Import a test seed phrase into the app</w:t>
            </w:r>
          </w:p>
        </w:tc>
        <w:tc>
          <w:tcPr>
            <w:tcW w:w="1360" w:type="dxa"/>
            <w:tcBorders>
              <w:top w:val="single" w:sz="2" w:space="0" w:color="CFCFCF"/>
              <w:left w:val="single" w:sz="2" w:space="0" w:color="CFCFCF"/>
              <w:bottom w:val="single" w:sz="2" w:space="0" w:color="CFCFCF"/>
              <w:right w:val="single" w:sz="2" w:space="0" w:color="CFCFCF"/>
            </w:tcBorders>
            <w:shd w:val="clear" w:color="auto" w:fill="F2F5FA"/>
            <w:tcMar>
              <w:top w:w="80" w:type="dxa"/>
              <w:left w:w="120" w:type="dxa"/>
              <w:bottom w:w="80" w:type="dxa"/>
              <w:right w:w="120" w:type="dxa"/>
            </w:tcMar>
            <w:vAlign w:val="center"/>
          </w:tcPr>
          <w:p w14:paraId="712E552A" w14:textId="77777777" w:rsidR="00AD43F1" w:rsidRDefault="00000000">
            <w:r>
              <w:rPr>
                <w:sz w:val="20"/>
                <w:szCs w:val="20"/>
              </w:rPr>
              <w:t>A3</w:t>
            </w:r>
          </w:p>
        </w:tc>
      </w:tr>
      <w:tr w:rsidR="00AD43F1" w14:paraId="366B95EB" w14:textId="77777777">
        <w:tblPrEx>
          <w:tblCellMar>
            <w:top w:w="0" w:type="dxa"/>
            <w:bottom w:w="0" w:type="dxa"/>
          </w:tblCellMar>
        </w:tblPrEx>
        <w:tc>
          <w:tcPr>
            <w:tcW w:w="2400" w:type="dxa"/>
            <w:tcBorders>
              <w:top w:val="single" w:sz="2" w:space="0" w:color="CFCFCF"/>
              <w:left w:val="single" w:sz="2" w:space="0" w:color="CFCFCF"/>
              <w:bottom w:val="single" w:sz="2" w:space="0" w:color="CFCFCF"/>
              <w:right w:val="single" w:sz="2" w:space="0" w:color="CFCFCF"/>
            </w:tcBorders>
            <w:tcMar>
              <w:top w:w="80" w:type="dxa"/>
              <w:left w:w="120" w:type="dxa"/>
              <w:bottom w:w="80" w:type="dxa"/>
              <w:right w:w="120" w:type="dxa"/>
            </w:tcMar>
            <w:vAlign w:val="center"/>
          </w:tcPr>
          <w:p w14:paraId="481A426E" w14:textId="77777777" w:rsidR="00AD43F1" w:rsidRDefault="00000000">
            <w:r>
              <w:rPr>
                <w:sz w:val="20"/>
                <w:szCs w:val="20"/>
              </w:rPr>
              <w:t>Receive transaction</w:t>
            </w:r>
          </w:p>
        </w:tc>
        <w:tc>
          <w:tcPr>
            <w:tcW w:w="5600" w:type="dxa"/>
            <w:tcBorders>
              <w:top w:val="single" w:sz="2" w:space="0" w:color="CFCFCF"/>
              <w:left w:val="single" w:sz="2" w:space="0" w:color="CFCFCF"/>
              <w:bottom w:val="single" w:sz="2" w:space="0" w:color="CFCFCF"/>
              <w:right w:val="single" w:sz="2" w:space="0" w:color="CFCFCF"/>
            </w:tcBorders>
            <w:tcMar>
              <w:top w:w="80" w:type="dxa"/>
              <w:left w:w="120" w:type="dxa"/>
              <w:bottom w:w="80" w:type="dxa"/>
              <w:right w:w="120" w:type="dxa"/>
            </w:tcMar>
            <w:vAlign w:val="center"/>
          </w:tcPr>
          <w:p w14:paraId="3273618F" w14:textId="77777777" w:rsidR="00AD43F1" w:rsidRDefault="00000000">
            <w:r>
              <w:rPr>
                <w:sz w:val="20"/>
                <w:szCs w:val="20"/>
              </w:rPr>
              <w:t>Receive a test-network transaction</w:t>
            </w:r>
          </w:p>
        </w:tc>
        <w:tc>
          <w:tcPr>
            <w:tcW w:w="1360" w:type="dxa"/>
            <w:tcBorders>
              <w:top w:val="single" w:sz="2" w:space="0" w:color="CFCFCF"/>
              <w:left w:val="single" w:sz="2" w:space="0" w:color="CFCFCF"/>
              <w:bottom w:val="single" w:sz="2" w:space="0" w:color="CFCFCF"/>
              <w:right w:val="single" w:sz="2" w:space="0" w:color="CFCFCF"/>
            </w:tcBorders>
            <w:tcMar>
              <w:top w:w="80" w:type="dxa"/>
              <w:left w:w="120" w:type="dxa"/>
              <w:bottom w:w="80" w:type="dxa"/>
              <w:right w:w="120" w:type="dxa"/>
            </w:tcMar>
            <w:vAlign w:val="center"/>
          </w:tcPr>
          <w:p w14:paraId="0F727E7F" w14:textId="77777777" w:rsidR="00AD43F1" w:rsidRDefault="00000000">
            <w:r>
              <w:rPr>
                <w:sz w:val="20"/>
                <w:szCs w:val="20"/>
              </w:rPr>
              <w:t>A4</w:t>
            </w:r>
          </w:p>
        </w:tc>
      </w:tr>
      <w:tr w:rsidR="00AD43F1" w14:paraId="0DA347F3" w14:textId="77777777">
        <w:tblPrEx>
          <w:tblCellMar>
            <w:top w:w="0" w:type="dxa"/>
            <w:bottom w:w="0" w:type="dxa"/>
          </w:tblCellMar>
        </w:tblPrEx>
        <w:tc>
          <w:tcPr>
            <w:tcW w:w="2400" w:type="dxa"/>
            <w:tcBorders>
              <w:top w:val="single" w:sz="2" w:space="0" w:color="CFCFCF"/>
              <w:left w:val="single" w:sz="2" w:space="0" w:color="CFCFCF"/>
              <w:bottom w:val="single" w:sz="2" w:space="0" w:color="CFCFCF"/>
              <w:right w:val="single" w:sz="2" w:space="0" w:color="CFCFCF"/>
            </w:tcBorders>
            <w:shd w:val="clear" w:color="auto" w:fill="F2F5FA"/>
            <w:tcMar>
              <w:top w:w="80" w:type="dxa"/>
              <w:left w:w="120" w:type="dxa"/>
              <w:bottom w:w="80" w:type="dxa"/>
              <w:right w:w="120" w:type="dxa"/>
            </w:tcMar>
            <w:vAlign w:val="center"/>
          </w:tcPr>
          <w:p w14:paraId="586332A9" w14:textId="77777777" w:rsidR="00AD43F1" w:rsidRDefault="00000000">
            <w:r>
              <w:rPr>
                <w:sz w:val="20"/>
                <w:szCs w:val="20"/>
              </w:rPr>
              <w:t>Send transaction</w:t>
            </w:r>
          </w:p>
        </w:tc>
        <w:tc>
          <w:tcPr>
            <w:tcW w:w="5600" w:type="dxa"/>
            <w:tcBorders>
              <w:top w:val="single" w:sz="2" w:space="0" w:color="CFCFCF"/>
              <w:left w:val="single" w:sz="2" w:space="0" w:color="CFCFCF"/>
              <w:bottom w:val="single" w:sz="2" w:space="0" w:color="CFCFCF"/>
              <w:right w:val="single" w:sz="2" w:space="0" w:color="CFCFCF"/>
            </w:tcBorders>
            <w:shd w:val="clear" w:color="auto" w:fill="F2F5FA"/>
            <w:tcMar>
              <w:top w:w="80" w:type="dxa"/>
              <w:left w:w="120" w:type="dxa"/>
              <w:bottom w:w="80" w:type="dxa"/>
              <w:right w:w="120" w:type="dxa"/>
            </w:tcMar>
            <w:vAlign w:val="center"/>
          </w:tcPr>
          <w:p w14:paraId="709B5283" w14:textId="77777777" w:rsidR="00AD43F1" w:rsidRDefault="00000000">
            <w:r>
              <w:rPr>
                <w:sz w:val="20"/>
                <w:szCs w:val="20"/>
              </w:rPr>
              <w:t>Send a test-network transaction</w:t>
            </w:r>
          </w:p>
        </w:tc>
        <w:tc>
          <w:tcPr>
            <w:tcW w:w="1360" w:type="dxa"/>
            <w:tcBorders>
              <w:top w:val="single" w:sz="2" w:space="0" w:color="CFCFCF"/>
              <w:left w:val="single" w:sz="2" w:space="0" w:color="CFCFCF"/>
              <w:bottom w:val="single" w:sz="2" w:space="0" w:color="CFCFCF"/>
              <w:right w:val="single" w:sz="2" w:space="0" w:color="CFCFCF"/>
            </w:tcBorders>
            <w:shd w:val="clear" w:color="auto" w:fill="F2F5FA"/>
            <w:tcMar>
              <w:top w:w="80" w:type="dxa"/>
              <w:left w:w="120" w:type="dxa"/>
              <w:bottom w:w="80" w:type="dxa"/>
              <w:right w:w="120" w:type="dxa"/>
            </w:tcMar>
            <w:vAlign w:val="center"/>
          </w:tcPr>
          <w:p w14:paraId="11B9529F" w14:textId="77777777" w:rsidR="00AD43F1" w:rsidRDefault="00000000">
            <w:r>
              <w:rPr>
                <w:sz w:val="20"/>
                <w:szCs w:val="20"/>
              </w:rPr>
              <w:t>A5</w:t>
            </w:r>
          </w:p>
        </w:tc>
      </w:tr>
      <w:tr w:rsidR="00AD43F1" w14:paraId="4090DABF" w14:textId="77777777">
        <w:tblPrEx>
          <w:tblCellMar>
            <w:top w:w="0" w:type="dxa"/>
            <w:bottom w:w="0" w:type="dxa"/>
          </w:tblCellMar>
        </w:tblPrEx>
        <w:tc>
          <w:tcPr>
            <w:tcW w:w="2400" w:type="dxa"/>
            <w:tcBorders>
              <w:top w:val="single" w:sz="2" w:space="0" w:color="CFCFCF"/>
              <w:left w:val="single" w:sz="2" w:space="0" w:color="CFCFCF"/>
              <w:bottom w:val="single" w:sz="2" w:space="0" w:color="CFCFCF"/>
              <w:right w:val="single" w:sz="2" w:space="0" w:color="CFCFCF"/>
            </w:tcBorders>
            <w:tcMar>
              <w:top w:w="80" w:type="dxa"/>
              <w:left w:w="120" w:type="dxa"/>
              <w:bottom w:w="80" w:type="dxa"/>
              <w:right w:w="120" w:type="dxa"/>
            </w:tcMar>
            <w:vAlign w:val="center"/>
          </w:tcPr>
          <w:p w14:paraId="4C0BF2DE" w14:textId="77777777" w:rsidR="00AD43F1" w:rsidRDefault="00000000">
            <w:r>
              <w:rPr>
                <w:sz w:val="20"/>
                <w:szCs w:val="20"/>
              </w:rPr>
              <w:t>Add token or network</w:t>
            </w:r>
          </w:p>
        </w:tc>
        <w:tc>
          <w:tcPr>
            <w:tcW w:w="5600" w:type="dxa"/>
            <w:tcBorders>
              <w:top w:val="single" w:sz="2" w:space="0" w:color="CFCFCF"/>
              <w:left w:val="single" w:sz="2" w:space="0" w:color="CFCFCF"/>
              <w:bottom w:val="single" w:sz="2" w:space="0" w:color="CFCFCF"/>
              <w:right w:val="single" w:sz="2" w:space="0" w:color="CFCFCF"/>
            </w:tcBorders>
            <w:tcMar>
              <w:top w:w="80" w:type="dxa"/>
              <w:left w:w="120" w:type="dxa"/>
              <w:bottom w:w="80" w:type="dxa"/>
              <w:right w:w="120" w:type="dxa"/>
            </w:tcMar>
            <w:vAlign w:val="center"/>
          </w:tcPr>
          <w:p w14:paraId="01711455" w14:textId="77777777" w:rsidR="00AD43F1" w:rsidRDefault="00000000">
            <w:r>
              <w:rPr>
                <w:sz w:val="20"/>
                <w:szCs w:val="20"/>
              </w:rPr>
              <w:t>Add a custom token, network, or connect to a test app (</w:t>
            </w:r>
            <w:proofErr w:type="spellStart"/>
            <w:r>
              <w:rPr>
                <w:sz w:val="20"/>
                <w:szCs w:val="20"/>
              </w:rPr>
              <w:t>dApp</w:t>
            </w:r>
            <w:proofErr w:type="spellEnd"/>
            <w:r>
              <w:rPr>
                <w:sz w:val="20"/>
                <w:szCs w:val="20"/>
              </w:rPr>
              <w:t>)</w:t>
            </w:r>
          </w:p>
        </w:tc>
        <w:tc>
          <w:tcPr>
            <w:tcW w:w="1360" w:type="dxa"/>
            <w:tcBorders>
              <w:top w:val="single" w:sz="2" w:space="0" w:color="CFCFCF"/>
              <w:left w:val="single" w:sz="2" w:space="0" w:color="CFCFCF"/>
              <w:bottom w:val="single" w:sz="2" w:space="0" w:color="CFCFCF"/>
              <w:right w:val="single" w:sz="2" w:space="0" w:color="CFCFCF"/>
            </w:tcBorders>
            <w:tcMar>
              <w:top w:w="80" w:type="dxa"/>
              <w:left w:w="120" w:type="dxa"/>
              <w:bottom w:w="80" w:type="dxa"/>
              <w:right w:w="120" w:type="dxa"/>
            </w:tcMar>
            <w:vAlign w:val="center"/>
          </w:tcPr>
          <w:p w14:paraId="6A25A0A5" w14:textId="77777777" w:rsidR="00AD43F1" w:rsidRDefault="00000000">
            <w:r>
              <w:rPr>
                <w:sz w:val="20"/>
                <w:szCs w:val="20"/>
              </w:rPr>
              <w:t>A6</w:t>
            </w:r>
          </w:p>
        </w:tc>
      </w:tr>
      <w:tr w:rsidR="00AD43F1" w14:paraId="1B1DF3E2" w14:textId="77777777">
        <w:tblPrEx>
          <w:tblCellMar>
            <w:top w:w="0" w:type="dxa"/>
            <w:bottom w:w="0" w:type="dxa"/>
          </w:tblCellMar>
        </w:tblPrEx>
        <w:tc>
          <w:tcPr>
            <w:tcW w:w="2400" w:type="dxa"/>
            <w:tcBorders>
              <w:top w:val="single" w:sz="2" w:space="0" w:color="CFCFCF"/>
              <w:left w:val="single" w:sz="2" w:space="0" w:color="CFCFCF"/>
              <w:bottom w:val="single" w:sz="2" w:space="0" w:color="CFCFCF"/>
              <w:right w:val="single" w:sz="2" w:space="0" w:color="CFCFCF"/>
            </w:tcBorders>
            <w:shd w:val="clear" w:color="auto" w:fill="F2F5FA"/>
            <w:tcMar>
              <w:top w:w="80" w:type="dxa"/>
              <w:left w:w="120" w:type="dxa"/>
              <w:bottom w:w="80" w:type="dxa"/>
              <w:right w:w="120" w:type="dxa"/>
            </w:tcMar>
            <w:vAlign w:val="center"/>
          </w:tcPr>
          <w:p w14:paraId="1024998C" w14:textId="77777777" w:rsidR="00AD43F1" w:rsidRDefault="00000000">
            <w:r>
              <w:rPr>
                <w:sz w:val="20"/>
                <w:szCs w:val="20"/>
              </w:rPr>
              <w:t>Lock or log out</w:t>
            </w:r>
          </w:p>
        </w:tc>
        <w:tc>
          <w:tcPr>
            <w:tcW w:w="5600" w:type="dxa"/>
            <w:tcBorders>
              <w:top w:val="single" w:sz="2" w:space="0" w:color="CFCFCF"/>
              <w:left w:val="single" w:sz="2" w:space="0" w:color="CFCFCF"/>
              <w:bottom w:val="single" w:sz="2" w:space="0" w:color="CFCFCF"/>
              <w:right w:val="single" w:sz="2" w:space="0" w:color="CFCFCF"/>
            </w:tcBorders>
            <w:shd w:val="clear" w:color="auto" w:fill="F2F5FA"/>
            <w:tcMar>
              <w:top w:w="80" w:type="dxa"/>
              <w:left w:w="120" w:type="dxa"/>
              <w:bottom w:w="80" w:type="dxa"/>
              <w:right w:w="120" w:type="dxa"/>
            </w:tcMar>
            <w:vAlign w:val="center"/>
          </w:tcPr>
          <w:p w14:paraId="67234043" w14:textId="77777777" w:rsidR="00AD43F1" w:rsidRDefault="00000000">
            <w:r>
              <w:rPr>
                <w:sz w:val="20"/>
                <w:szCs w:val="20"/>
              </w:rPr>
              <w:t>Log out, lock the wallet, and close the app</w:t>
            </w:r>
          </w:p>
        </w:tc>
        <w:tc>
          <w:tcPr>
            <w:tcW w:w="1360" w:type="dxa"/>
            <w:tcBorders>
              <w:top w:val="single" w:sz="2" w:space="0" w:color="CFCFCF"/>
              <w:left w:val="single" w:sz="2" w:space="0" w:color="CFCFCF"/>
              <w:bottom w:val="single" w:sz="2" w:space="0" w:color="CFCFCF"/>
              <w:right w:val="single" w:sz="2" w:space="0" w:color="CFCFCF"/>
            </w:tcBorders>
            <w:shd w:val="clear" w:color="auto" w:fill="F2F5FA"/>
            <w:tcMar>
              <w:top w:w="80" w:type="dxa"/>
              <w:left w:w="120" w:type="dxa"/>
              <w:bottom w:w="80" w:type="dxa"/>
              <w:right w:w="120" w:type="dxa"/>
            </w:tcMar>
            <w:vAlign w:val="center"/>
          </w:tcPr>
          <w:p w14:paraId="4E653137" w14:textId="77777777" w:rsidR="00AD43F1" w:rsidRDefault="00000000">
            <w:r>
              <w:rPr>
                <w:sz w:val="20"/>
                <w:szCs w:val="20"/>
              </w:rPr>
              <w:t>A7</w:t>
            </w:r>
          </w:p>
        </w:tc>
      </w:tr>
      <w:tr w:rsidR="00AD43F1" w14:paraId="3255B550" w14:textId="77777777">
        <w:tblPrEx>
          <w:tblCellMar>
            <w:top w:w="0" w:type="dxa"/>
            <w:bottom w:w="0" w:type="dxa"/>
          </w:tblCellMar>
        </w:tblPrEx>
        <w:tc>
          <w:tcPr>
            <w:tcW w:w="2400" w:type="dxa"/>
            <w:tcBorders>
              <w:top w:val="single" w:sz="2" w:space="0" w:color="CFCFCF"/>
              <w:left w:val="single" w:sz="2" w:space="0" w:color="CFCFCF"/>
              <w:bottom w:val="single" w:sz="2" w:space="0" w:color="CFCFCF"/>
              <w:right w:val="single" w:sz="2" w:space="0" w:color="CFCFCF"/>
            </w:tcBorders>
            <w:tcMar>
              <w:top w:w="80" w:type="dxa"/>
              <w:left w:w="120" w:type="dxa"/>
              <w:bottom w:w="80" w:type="dxa"/>
              <w:right w:w="120" w:type="dxa"/>
            </w:tcMar>
            <w:vAlign w:val="center"/>
          </w:tcPr>
          <w:p w14:paraId="6721E3F7" w14:textId="77777777" w:rsidR="00AD43F1" w:rsidRDefault="00000000">
            <w:r>
              <w:rPr>
                <w:sz w:val="20"/>
                <w:szCs w:val="20"/>
              </w:rPr>
              <w:t>Delete wallet</w:t>
            </w:r>
          </w:p>
        </w:tc>
        <w:tc>
          <w:tcPr>
            <w:tcW w:w="5600" w:type="dxa"/>
            <w:tcBorders>
              <w:top w:val="single" w:sz="2" w:space="0" w:color="CFCFCF"/>
              <w:left w:val="single" w:sz="2" w:space="0" w:color="CFCFCF"/>
              <w:bottom w:val="single" w:sz="2" w:space="0" w:color="CFCFCF"/>
              <w:right w:val="single" w:sz="2" w:space="0" w:color="CFCFCF"/>
            </w:tcBorders>
            <w:tcMar>
              <w:top w:w="80" w:type="dxa"/>
              <w:left w:w="120" w:type="dxa"/>
              <w:bottom w:w="80" w:type="dxa"/>
              <w:right w:w="120" w:type="dxa"/>
            </w:tcMar>
            <w:vAlign w:val="center"/>
          </w:tcPr>
          <w:p w14:paraId="1A3363C8" w14:textId="77777777" w:rsidR="00AD43F1" w:rsidRDefault="00000000">
            <w:r>
              <w:rPr>
                <w:sz w:val="20"/>
                <w:szCs w:val="20"/>
              </w:rPr>
              <w:t>Use the app's own option to delete or remove the wallet</w:t>
            </w:r>
          </w:p>
        </w:tc>
        <w:tc>
          <w:tcPr>
            <w:tcW w:w="1360" w:type="dxa"/>
            <w:tcBorders>
              <w:top w:val="single" w:sz="2" w:space="0" w:color="CFCFCF"/>
              <w:left w:val="single" w:sz="2" w:space="0" w:color="CFCFCF"/>
              <w:bottom w:val="single" w:sz="2" w:space="0" w:color="CFCFCF"/>
              <w:right w:val="single" w:sz="2" w:space="0" w:color="CFCFCF"/>
            </w:tcBorders>
            <w:tcMar>
              <w:top w:w="80" w:type="dxa"/>
              <w:left w:w="120" w:type="dxa"/>
              <w:bottom w:w="80" w:type="dxa"/>
              <w:right w:w="120" w:type="dxa"/>
            </w:tcMar>
            <w:vAlign w:val="center"/>
          </w:tcPr>
          <w:p w14:paraId="4087BC75" w14:textId="77777777" w:rsidR="00AD43F1" w:rsidRDefault="00000000">
            <w:r>
              <w:rPr>
                <w:sz w:val="20"/>
                <w:szCs w:val="20"/>
              </w:rPr>
              <w:t>A8</w:t>
            </w:r>
          </w:p>
        </w:tc>
      </w:tr>
      <w:tr w:rsidR="00AD43F1" w14:paraId="50DB49EF" w14:textId="77777777">
        <w:tblPrEx>
          <w:tblCellMar>
            <w:top w:w="0" w:type="dxa"/>
            <w:bottom w:w="0" w:type="dxa"/>
          </w:tblCellMar>
        </w:tblPrEx>
        <w:tc>
          <w:tcPr>
            <w:tcW w:w="2400" w:type="dxa"/>
            <w:tcBorders>
              <w:top w:val="single" w:sz="2" w:space="0" w:color="CFCFCF"/>
              <w:left w:val="single" w:sz="2" w:space="0" w:color="CFCFCF"/>
              <w:bottom w:val="single" w:sz="2" w:space="0" w:color="CFCFCF"/>
              <w:right w:val="single" w:sz="2" w:space="0" w:color="CFCFCF"/>
            </w:tcBorders>
            <w:shd w:val="clear" w:color="auto" w:fill="F2F5FA"/>
            <w:tcMar>
              <w:top w:w="80" w:type="dxa"/>
              <w:left w:w="120" w:type="dxa"/>
              <w:bottom w:w="80" w:type="dxa"/>
              <w:right w:w="120" w:type="dxa"/>
            </w:tcMar>
            <w:vAlign w:val="center"/>
          </w:tcPr>
          <w:p w14:paraId="1D198B9E" w14:textId="77777777" w:rsidR="00AD43F1" w:rsidRDefault="00000000">
            <w:r>
              <w:rPr>
                <w:sz w:val="20"/>
                <w:szCs w:val="20"/>
              </w:rPr>
              <w:t>Clear cache</w:t>
            </w:r>
          </w:p>
        </w:tc>
        <w:tc>
          <w:tcPr>
            <w:tcW w:w="5600" w:type="dxa"/>
            <w:tcBorders>
              <w:top w:val="single" w:sz="2" w:space="0" w:color="CFCFCF"/>
              <w:left w:val="single" w:sz="2" w:space="0" w:color="CFCFCF"/>
              <w:bottom w:val="single" w:sz="2" w:space="0" w:color="CFCFCF"/>
              <w:right w:val="single" w:sz="2" w:space="0" w:color="CFCFCF"/>
            </w:tcBorders>
            <w:shd w:val="clear" w:color="auto" w:fill="F2F5FA"/>
            <w:tcMar>
              <w:top w:w="80" w:type="dxa"/>
              <w:left w:w="120" w:type="dxa"/>
              <w:bottom w:w="80" w:type="dxa"/>
              <w:right w:w="120" w:type="dxa"/>
            </w:tcMar>
            <w:vAlign w:val="center"/>
          </w:tcPr>
          <w:p w14:paraId="780DDFCC" w14:textId="77777777" w:rsidR="00AD43F1" w:rsidRDefault="00000000">
            <w:r>
              <w:rPr>
                <w:sz w:val="20"/>
                <w:szCs w:val="20"/>
              </w:rPr>
              <w:t>Clear the app's cache from Android settings</w:t>
            </w:r>
          </w:p>
        </w:tc>
        <w:tc>
          <w:tcPr>
            <w:tcW w:w="1360" w:type="dxa"/>
            <w:tcBorders>
              <w:top w:val="single" w:sz="2" w:space="0" w:color="CFCFCF"/>
              <w:left w:val="single" w:sz="2" w:space="0" w:color="CFCFCF"/>
              <w:bottom w:val="single" w:sz="2" w:space="0" w:color="CFCFCF"/>
              <w:right w:val="single" w:sz="2" w:space="0" w:color="CFCFCF"/>
            </w:tcBorders>
            <w:shd w:val="clear" w:color="auto" w:fill="F2F5FA"/>
            <w:tcMar>
              <w:top w:w="80" w:type="dxa"/>
              <w:left w:w="120" w:type="dxa"/>
              <w:bottom w:w="80" w:type="dxa"/>
              <w:right w:w="120" w:type="dxa"/>
            </w:tcMar>
            <w:vAlign w:val="center"/>
          </w:tcPr>
          <w:p w14:paraId="474F862D" w14:textId="77777777" w:rsidR="00AD43F1" w:rsidRDefault="00000000">
            <w:r>
              <w:rPr>
                <w:sz w:val="20"/>
                <w:szCs w:val="20"/>
              </w:rPr>
              <w:t>A9</w:t>
            </w:r>
          </w:p>
        </w:tc>
      </w:tr>
      <w:tr w:rsidR="00AD43F1" w14:paraId="05FFFC57" w14:textId="77777777">
        <w:tblPrEx>
          <w:tblCellMar>
            <w:top w:w="0" w:type="dxa"/>
            <w:bottom w:w="0" w:type="dxa"/>
          </w:tblCellMar>
        </w:tblPrEx>
        <w:tc>
          <w:tcPr>
            <w:tcW w:w="2400" w:type="dxa"/>
            <w:tcBorders>
              <w:top w:val="single" w:sz="2" w:space="0" w:color="CFCFCF"/>
              <w:left w:val="single" w:sz="2" w:space="0" w:color="CFCFCF"/>
              <w:bottom w:val="single" w:sz="2" w:space="0" w:color="CFCFCF"/>
              <w:right w:val="single" w:sz="2" w:space="0" w:color="CFCFCF"/>
            </w:tcBorders>
            <w:tcMar>
              <w:top w:w="80" w:type="dxa"/>
              <w:left w:w="120" w:type="dxa"/>
              <w:bottom w:w="80" w:type="dxa"/>
              <w:right w:w="120" w:type="dxa"/>
            </w:tcMar>
            <w:vAlign w:val="center"/>
          </w:tcPr>
          <w:p w14:paraId="07B02AA6" w14:textId="77777777" w:rsidR="00AD43F1" w:rsidRDefault="00000000">
            <w:r>
              <w:rPr>
                <w:sz w:val="20"/>
                <w:szCs w:val="20"/>
              </w:rPr>
              <w:t>Clear storage</w:t>
            </w:r>
          </w:p>
        </w:tc>
        <w:tc>
          <w:tcPr>
            <w:tcW w:w="5600" w:type="dxa"/>
            <w:tcBorders>
              <w:top w:val="single" w:sz="2" w:space="0" w:color="CFCFCF"/>
              <w:left w:val="single" w:sz="2" w:space="0" w:color="CFCFCF"/>
              <w:bottom w:val="single" w:sz="2" w:space="0" w:color="CFCFCF"/>
              <w:right w:val="single" w:sz="2" w:space="0" w:color="CFCFCF"/>
            </w:tcBorders>
            <w:tcMar>
              <w:top w:w="80" w:type="dxa"/>
              <w:left w:w="120" w:type="dxa"/>
              <w:bottom w:w="80" w:type="dxa"/>
              <w:right w:w="120" w:type="dxa"/>
            </w:tcMar>
            <w:vAlign w:val="center"/>
          </w:tcPr>
          <w:p w14:paraId="0C60C719" w14:textId="77777777" w:rsidR="00AD43F1" w:rsidRDefault="00000000">
            <w:r>
              <w:rPr>
                <w:sz w:val="20"/>
                <w:szCs w:val="20"/>
              </w:rPr>
              <w:t>Clear the app's storage from Android settings</w:t>
            </w:r>
          </w:p>
        </w:tc>
        <w:tc>
          <w:tcPr>
            <w:tcW w:w="1360" w:type="dxa"/>
            <w:tcBorders>
              <w:top w:val="single" w:sz="2" w:space="0" w:color="CFCFCF"/>
              <w:left w:val="single" w:sz="2" w:space="0" w:color="CFCFCF"/>
              <w:bottom w:val="single" w:sz="2" w:space="0" w:color="CFCFCF"/>
              <w:right w:val="single" w:sz="2" w:space="0" w:color="CFCFCF"/>
            </w:tcBorders>
            <w:tcMar>
              <w:top w:w="80" w:type="dxa"/>
              <w:left w:w="120" w:type="dxa"/>
              <w:bottom w:w="80" w:type="dxa"/>
              <w:right w:w="120" w:type="dxa"/>
            </w:tcMar>
            <w:vAlign w:val="center"/>
          </w:tcPr>
          <w:p w14:paraId="77C2C4AC" w14:textId="77777777" w:rsidR="00AD43F1" w:rsidRDefault="00000000">
            <w:r>
              <w:rPr>
                <w:sz w:val="20"/>
                <w:szCs w:val="20"/>
              </w:rPr>
              <w:t>A10</w:t>
            </w:r>
          </w:p>
        </w:tc>
      </w:tr>
      <w:tr w:rsidR="00AD43F1" w14:paraId="474B9AC8" w14:textId="77777777">
        <w:tblPrEx>
          <w:tblCellMar>
            <w:top w:w="0" w:type="dxa"/>
            <w:bottom w:w="0" w:type="dxa"/>
          </w:tblCellMar>
        </w:tblPrEx>
        <w:tc>
          <w:tcPr>
            <w:tcW w:w="2400" w:type="dxa"/>
            <w:tcBorders>
              <w:top w:val="single" w:sz="2" w:space="0" w:color="CFCFCF"/>
              <w:left w:val="single" w:sz="2" w:space="0" w:color="CFCFCF"/>
              <w:bottom w:val="single" w:sz="2" w:space="0" w:color="CFCFCF"/>
              <w:right w:val="single" w:sz="2" w:space="0" w:color="CFCFCF"/>
            </w:tcBorders>
            <w:shd w:val="clear" w:color="auto" w:fill="F2F5FA"/>
            <w:tcMar>
              <w:top w:w="80" w:type="dxa"/>
              <w:left w:w="120" w:type="dxa"/>
              <w:bottom w:w="80" w:type="dxa"/>
              <w:right w:w="120" w:type="dxa"/>
            </w:tcMar>
            <w:vAlign w:val="center"/>
          </w:tcPr>
          <w:p w14:paraId="488040D7" w14:textId="77777777" w:rsidR="00AD43F1" w:rsidRDefault="00000000">
            <w:r>
              <w:rPr>
                <w:sz w:val="20"/>
                <w:szCs w:val="20"/>
              </w:rPr>
              <w:t>Uninstall and reinstall</w:t>
            </w:r>
          </w:p>
        </w:tc>
        <w:tc>
          <w:tcPr>
            <w:tcW w:w="5600" w:type="dxa"/>
            <w:tcBorders>
              <w:top w:val="single" w:sz="2" w:space="0" w:color="CFCFCF"/>
              <w:left w:val="single" w:sz="2" w:space="0" w:color="CFCFCF"/>
              <w:bottom w:val="single" w:sz="2" w:space="0" w:color="CFCFCF"/>
              <w:right w:val="single" w:sz="2" w:space="0" w:color="CFCFCF"/>
            </w:tcBorders>
            <w:shd w:val="clear" w:color="auto" w:fill="F2F5FA"/>
            <w:tcMar>
              <w:top w:w="80" w:type="dxa"/>
              <w:left w:w="120" w:type="dxa"/>
              <w:bottom w:w="80" w:type="dxa"/>
              <w:right w:w="120" w:type="dxa"/>
            </w:tcMar>
            <w:vAlign w:val="center"/>
          </w:tcPr>
          <w:p w14:paraId="7B444A86" w14:textId="77777777" w:rsidR="00AD43F1" w:rsidRDefault="00000000">
            <w:r>
              <w:rPr>
                <w:sz w:val="20"/>
                <w:szCs w:val="20"/>
              </w:rPr>
              <w:t>Remove the app, then install it again</w:t>
            </w:r>
          </w:p>
        </w:tc>
        <w:tc>
          <w:tcPr>
            <w:tcW w:w="1360" w:type="dxa"/>
            <w:tcBorders>
              <w:top w:val="single" w:sz="2" w:space="0" w:color="CFCFCF"/>
              <w:left w:val="single" w:sz="2" w:space="0" w:color="CFCFCF"/>
              <w:bottom w:val="single" w:sz="2" w:space="0" w:color="CFCFCF"/>
              <w:right w:val="single" w:sz="2" w:space="0" w:color="CFCFCF"/>
            </w:tcBorders>
            <w:shd w:val="clear" w:color="auto" w:fill="F2F5FA"/>
            <w:tcMar>
              <w:top w:w="80" w:type="dxa"/>
              <w:left w:w="120" w:type="dxa"/>
              <w:bottom w:w="80" w:type="dxa"/>
              <w:right w:w="120" w:type="dxa"/>
            </w:tcMar>
            <w:vAlign w:val="center"/>
          </w:tcPr>
          <w:p w14:paraId="05EBEF65" w14:textId="77777777" w:rsidR="00AD43F1" w:rsidRDefault="00000000">
            <w:r>
              <w:rPr>
                <w:sz w:val="20"/>
                <w:szCs w:val="20"/>
              </w:rPr>
              <w:t>A11</w:t>
            </w:r>
          </w:p>
        </w:tc>
      </w:tr>
      <w:tr w:rsidR="00AD43F1" w14:paraId="106830F6" w14:textId="77777777">
        <w:tblPrEx>
          <w:tblCellMar>
            <w:top w:w="0" w:type="dxa"/>
            <w:bottom w:w="0" w:type="dxa"/>
          </w:tblCellMar>
        </w:tblPrEx>
        <w:tc>
          <w:tcPr>
            <w:tcW w:w="2400" w:type="dxa"/>
            <w:tcBorders>
              <w:top w:val="single" w:sz="2" w:space="0" w:color="CFCFCF"/>
              <w:left w:val="single" w:sz="2" w:space="0" w:color="CFCFCF"/>
              <w:bottom w:val="single" w:sz="2" w:space="0" w:color="CFCFCF"/>
              <w:right w:val="single" w:sz="2" w:space="0" w:color="CFCFCF"/>
            </w:tcBorders>
            <w:tcMar>
              <w:top w:w="80" w:type="dxa"/>
              <w:left w:w="120" w:type="dxa"/>
              <w:bottom w:w="80" w:type="dxa"/>
              <w:right w:w="120" w:type="dxa"/>
            </w:tcMar>
            <w:vAlign w:val="center"/>
          </w:tcPr>
          <w:p w14:paraId="3A7DC120" w14:textId="77777777" w:rsidR="00AD43F1" w:rsidRDefault="00000000">
            <w:r>
              <w:rPr>
                <w:sz w:val="20"/>
                <w:szCs w:val="20"/>
              </w:rPr>
              <w:t>Backup and restore</w:t>
            </w:r>
          </w:p>
        </w:tc>
        <w:tc>
          <w:tcPr>
            <w:tcW w:w="5600" w:type="dxa"/>
            <w:tcBorders>
              <w:top w:val="single" w:sz="2" w:space="0" w:color="CFCFCF"/>
              <w:left w:val="single" w:sz="2" w:space="0" w:color="CFCFCF"/>
              <w:bottom w:val="single" w:sz="2" w:space="0" w:color="CFCFCF"/>
              <w:right w:val="single" w:sz="2" w:space="0" w:color="CFCFCF"/>
            </w:tcBorders>
            <w:tcMar>
              <w:top w:w="80" w:type="dxa"/>
              <w:left w:w="120" w:type="dxa"/>
              <w:bottom w:w="80" w:type="dxa"/>
              <w:right w:w="120" w:type="dxa"/>
            </w:tcMar>
            <w:vAlign w:val="center"/>
          </w:tcPr>
          <w:p w14:paraId="0566B3A2" w14:textId="77777777" w:rsidR="00AD43F1" w:rsidRDefault="00000000">
            <w:r>
              <w:rPr>
                <w:sz w:val="20"/>
                <w:szCs w:val="20"/>
              </w:rPr>
              <w:t>Test what Android's backup and restore feature does with this app's data</w:t>
            </w:r>
          </w:p>
        </w:tc>
        <w:tc>
          <w:tcPr>
            <w:tcW w:w="1360" w:type="dxa"/>
            <w:tcBorders>
              <w:top w:val="single" w:sz="2" w:space="0" w:color="CFCFCF"/>
              <w:left w:val="single" w:sz="2" w:space="0" w:color="CFCFCF"/>
              <w:bottom w:val="single" w:sz="2" w:space="0" w:color="CFCFCF"/>
              <w:right w:val="single" w:sz="2" w:space="0" w:color="CFCFCF"/>
            </w:tcBorders>
            <w:tcMar>
              <w:top w:w="80" w:type="dxa"/>
              <w:left w:w="120" w:type="dxa"/>
              <w:bottom w:w="80" w:type="dxa"/>
              <w:right w:w="120" w:type="dxa"/>
            </w:tcMar>
            <w:vAlign w:val="center"/>
          </w:tcPr>
          <w:p w14:paraId="5005FA82" w14:textId="77777777" w:rsidR="00AD43F1" w:rsidRDefault="00000000">
            <w:r>
              <w:rPr>
                <w:sz w:val="20"/>
                <w:szCs w:val="20"/>
              </w:rPr>
              <w:t>A12</w:t>
            </w:r>
          </w:p>
        </w:tc>
      </w:tr>
    </w:tbl>
    <w:p w14:paraId="082AF7C8" w14:textId="77777777" w:rsidR="00AD43F1" w:rsidRDefault="00000000">
      <w:pPr>
        <w:spacing w:after="180" w:line="360" w:lineRule="auto"/>
      </w:pPr>
      <w:r>
        <w:t xml:space="preserve">Android can automatically back up some app data, but it usually leaves out cache files and anything the app marks as private. Wallet apps often turn backup off completely, since they hold sensitive key data. Because of this, the backup and restore step (A12) may show little or nothing for some apps. If that happens, it is still a useful result. It shows the app is designed to protect this data, which is worth reporting as a </w:t>
      </w:r>
      <w:proofErr w:type="gramStart"/>
      <w:r>
        <w:t>finding in its own right, not</w:t>
      </w:r>
      <w:proofErr w:type="gramEnd"/>
      <w:r>
        <w:t xml:space="preserve"> treated as a failed test.</w:t>
      </w:r>
    </w:p>
    <w:p w14:paraId="73705FC9" w14:textId="77777777" w:rsidR="00AD43F1" w:rsidRDefault="00000000">
      <w:pPr>
        <w:pStyle w:val="Heading2"/>
      </w:pPr>
      <w:bookmarkStart w:id="20" w:name="s35"/>
      <w:r>
        <w:t>3.5 Pilot Test</w:t>
      </w:r>
      <w:bookmarkEnd w:id="20"/>
    </w:p>
    <w:p w14:paraId="3917A1B3" w14:textId="77777777" w:rsidR="00AD43F1" w:rsidRDefault="00000000">
      <w:pPr>
        <w:spacing w:after="180" w:line="360" w:lineRule="auto"/>
      </w:pPr>
      <w:r>
        <w:t xml:space="preserve">Before running the full test on all three apps, one wallet app will be tested first, all the way through the 13 steps, as a pilot. This helps catch any problems with the </w:t>
      </w:r>
      <w:r>
        <w:lastRenderedPageBreak/>
        <w:t xml:space="preserve">method </w:t>
      </w:r>
      <w:proofErr w:type="gramStart"/>
      <w:r>
        <w:t>early, and</w:t>
      </w:r>
      <w:proofErr w:type="gramEnd"/>
      <w:r>
        <w:t xml:space="preserve"> confirms exactly where an app stores its data on the device, before repeating the same steps on the other two apps.</w:t>
      </w:r>
    </w:p>
    <w:p w14:paraId="5AA31748" w14:textId="77777777" w:rsidR="00AD43F1" w:rsidRDefault="00000000">
      <w:pPr>
        <w:pStyle w:val="Heading2"/>
      </w:pPr>
      <w:bookmarkStart w:id="21" w:name="s36"/>
      <w:r>
        <w:t>3.6 How Evidence is Captured</w:t>
      </w:r>
      <w:bookmarkEnd w:id="21"/>
    </w:p>
    <w:p w14:paraId="3DC11B65" w14:textId="77777777" w:rsidR="00AD43F1" w:rsidRDefault="00000000">
      <w:pPr>
        <w:spacing w:after="180" w:line="360" w:lineRule="auto"/>
      </w:pPr>
      <w:r>
        <w:t>Two levels of access are used at each step.</w:t>
      </w:r>
    </w:p>
    <w:p w14:paraId="3444BD4C" w14:textId="77777777" w:rsidR="00AD43F1" w:rsidRDefault="00000000">
      <w:pPr>
        <w:pStyle w:val="ListParagraph"/>
        <w:numPr>
          <w:ilvl w:val="0"/>
          <w:numId w:val="2"/>
        </w:numPr>
        <w:spacing w:after="120" w:line="360" w:lineRule="auto"/>
      </w:pPr>
      <w:r>
        <w:t>Basic access using ADB (Android Debug Bridge), which reaches the app's private storage on the rooted emulator.</w:t>
      </w:r>
    </w:p>
    <w:p w14:paraId="4C1ECAA6" w14:textId="77777777" w:rsidR="00AD43F1" w:rsidRDefault="00000000">
      <w:pPr>
        <w:pStyle w:val="ListParagraph"/>
        <w:numPr>
          <w:ilvl w:val="0"/>
          <w:numId w:val="2"/>
        </w:numPr>
        <w:spacing w:after="120" w:line="360" w:lineRule="auto"/>
      </w:pPr>
      <w:r>
        <w:t>A commercial forensic tool, such as Cellebrite or Magnet AXIOM, used only if the university can provide access. This will be confirmed with the supervisor.</w:t>
      </w:r>
    </w:p>
    <w:p w14:paraId="54512B6E" w14:textId="77777777" w:rsidR="00AD43F1" w:rsidRDefault="00000000">
      <w:pPr>
        <w:spacing w:after="180" w:line="360" w:lineRule="auto"/>
      </w:pPr>
      <w:r>
        <w:t>A Python script is used to automate part of this process. Before any wallet actions are taken, the script records a baseline: a full list of the relevant files, their hashes, and their timestamps. After each step, the script takes a new capture and compares it with the baseline and with the step before it. It then writes a log showing exactly what changed: which files were added, removed, or modified, and when. This keeps a clear, repeatable record of every step, which supports the chain of custody for the evidence collected.</w:t>
      </w:r>
    </w:p>
    <w:p w14:paraId="48FBEEBB" w14:textId="77777777" w:rsidR="00AD43F1" w:rsidRDefault="00000000">
      <w:pPr>
        <w:spacing w:after="180" w:line="360" w:lineRule="auto"/>
      </w:pPr>
      <w:r>
        <w:t xml:space="preserve">Modern Android security is expected to limit what can be found. Since Android 10, most data </w:t>
      </w:r>
      <w:proofErr w:type="gramStart"/>
      <w:r>
        <w:t>is</w:t>
      </w:r>
      <w:proofErr w:type="gramEnd"/>
      <w:r>
        <w:t xml:space="preserve"> protected by file-based encryption, and the Android Keystore is designed to stop private keys from being copied out in a usable form. Because of this, private keys and seed phrases are not expected to be recoverable using these methods. Other useful data is expected to still be recoverable, such as wallet addresses, transaction IDs, timestamps, and app settings. Even a result of 'the private key could not be recovered' is a useful and valid finding for this thesis, since it says something real about how well the app protects the user.</w:t>
      </w:r>
    </w:p>
    <w:p w14:paraId="040258A0" w14:textId="77777777" w:rsidR="00AD43F1" w:rsidRDefault="00000000">
      <w:pPr>
        <w:pStyle w:val="Heading2"/>
      </w:pPr>
      <w:bookmarkStart w:id="22" w:name="s37"/>
      <w:r>
        <w:t>3.7 Sorting the Evidence Found</w:t>
      </w:r>
      <w:bookmarkEnd w:id="22"/>
    </w:p>
    <w:p w14:paraId="690E99AF" w14:textId="77777777" w:rsidR="00AD43F1" w:rsidRDefault="00000000">
      <w:pPr>
        <w:spacing w:after="180" w:line="360" w:lineRule="auto"/>
      </w:pPr>
      <w:r>
        <w:t xml:space="preserve">Every artefact found is recorded under one of these storage types: shared preferences, SQLite databases (including the WAL and SHM files that can hold recently changed or deleted data), other local storage used by the app, WebView </w:t>
      </w:r>
      <w:r>
        <w:lastRenderedPageBreak/>
        <w:t>storage, cache files, protected app files, Android Keystore references, notifications, clipboard content, files saved to external storage, and basic app information such as install and update times.</w:t>
      </w:r>
    </w:p>
    <w:p w14:paraId="702ACB2D" w14:textId="77777777" w:rsidR="00AD43F1" w:rsidRDefault="00000000">
      <w:pPr>
        <w:spacing w:after="180" w:line="360" w:lineRule="auto"/>
      </w:pPr>
      <w:r>
        <w:t>Each artefact found is also given a status, based on whether it survives later steps.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AD43F1" w14:paraId="1C44B3C2" w14:textId="77777777">
        <w:tblPrEx>
          <w:tblCellMar>
            <w:top w:w="0" w:type="dxa"/>
            <w:bottom w:w="0" w:type="dxa"/>
          </w:tblCellMar>
        </w:tblPrEx>
        <w:trPr>
          <w:tblHeader/>
        </w:trPr>
        <w:tc>
          <w:tcPr>
            <w:tcW w:w="3200" w:type="dxa"/>
            <w:tcBorders>
              <w:top w:val="single" w:sz="2" w:space="0" w:color="CFCFCF"/>
              <w:left w:val="single" w:sz="2" w:space="0" w:color="CFCFCF"/>
              <w:bottom w:val="single" w:sz="2" w:space="0" w:color="CFCFCF"/>
              <w:right w:val="single" w:sz="2" w:space="0" w:color="CFCFCF"/>
            </w:tcBorders>
            <w:shd w:val="clear" w:color="auto" w:fill="1F3864"/>
            <w:tcMar>
              <w:top w:w="80" w:type="dxa"/>
              <w:left w:w="120" w:type="dxa"/>
              <w:bottom w:w="80" w:type="dxa"/>
              <w:right w:w="120" w:type="dxa"/>
            </w:tcMar>
            <w:vAlign w:val="center"/>
          </w:tcPr>
          <w:p w14:paraId="34C1802C" w14:textId="77777777" w:rsidR="00AD43F1" w:rsidRDefault="00000000">
            <w:r>
              <w:rPr>
                <w:b/>
                <w:bCs/>
                <w:color w:val="FFFFFF"/>
                <w:sz w:val="20"/>
                <w:szCs w:val="20"/>
              </w:rPr>
              <w:t>Status</w:t>
            </w:r>
          </w:p>
        </w:tc>
        <w:tc>
          <w:tcPr>
            <w:tcW w:w="6160" w:type="dxa"/>
            <w:tcBorders>
              <w:top w:val="single" w:sz="2" w:space="0" w:color="CFCFCF"/>
              <w:left w:val="single" w:sz="2" w:space="0" w:color="CFCFCF"/>
              <w:bottom w:val="single" w:sz="2" w:space="0" w:color="CFCFCF"/>
              <w:right w:val="single" w:sz="2" w:space="0" w:color="CFCFCF"/>
            </w:tcBorders>
            <w:shd w:val="clear" w:color="auto" w:fill="1F3864"/>
            <w:tcMar>
              <w:top w:w="80" w:type="dxa"/>
              <w:left w:w="120" w:type="dxa"/>
              <w:bottom w:w="80" w:type="dxa"/>
              <w:right w:w="120" w:type="dxa"/>
            </w:tcMar>
            <w:vAlign w:val="center"/>
          </w:tcPr>
          <w:p w14:paraId="7E5EF75D" w14:textId="77777777" w:rsidR="00AD43F1" w:rsidRDefault="00000000">
            <w:r>
              <w:rPr>
                <w:b/>
                <w:bCs/>
                <w:color w:val="FFFFFF"/>
                <w:sz w:val="20"/>
                <w:szCs w:val="20"/>
              </w:rPr>
              <w:t>What it means</w:t>
            </w:r>
          </w:p>
        </w:tc>
      </w:tr>
      <w:tr w:rsidR="00AD43F1" w14:paraId="5581E244" w14:textId="77777777">
        <w:tblPrEx>
          <w:tblCellMar>
            <w:top w:w="0" w:type="dxa"/>
            <w:bottom w:w="0" w:type="dxa"/>
          </w:tblCellMar>
        </w:tblPrEx>
        <w:tc>
          <w:tcPr>
            <w:tcW w:w="3200" w:type="dxa"/>
            <w:tcBorders>
              <w:top w:val="single" w:sz="2" w:space="0" w:color="CFCFCF"/>
              <w:left w:val="single" w:sz="2" w:space="0" w:color="CFCFCF"/>
              <w:bottom w:val="single" w:sz="2" w:space="0" w:color="CFCFCF"/>
              <w:right w:val="single" w:sz="2" w:space="0" w:color="CFCFCF"/>
            </w:tcBorders>
            <w:tcMar>
              <w:top w:w="80" w:type="dxa"/>
              <w:left w:w="120" w:type="dxa"/>
              <w:bottom w:w="80" w:type="dxa"/>
              <w:right w:w="120" w:type="dxa"/>
            </w:tcMar>
            <w:vAlign w:val="center"/>
          </w:tcPr>
          <w:p w14:paraId="12B0CE74" w14:textId="77777777" w:rsidR="00AD43F1" w:rsidRDefault="00000000">
            <w:r>
              <w:rPr>
                <w:sz w:val="20"/>
                <w:szCs w:val="20"/>
              </w:rPr>
              <w:t>Active</w:t>
            </w:r>
          </w:p>
        </w:tc>
        <w:tc>
          <w:tcPr>
            <w:tcW w:w="6160" w:type="dxa"/>
            <w:tcBorders>
              <w:top w:val="single" w:sz="2" w:space="0" w:color="CFCFCF"/>
              <w:left w:val="single" w:sz="2" w:space="0" w:color="CFCFCF"/>
              <w:bottom w:val="single" w:sz="2" w:space="0" w:color="CFCFCF"/>
              <w:right w:val="single" w:sz="2" w:space="0" w:color="CFCFCF"/>
            </w:tcBorders>
            <w:tcMar>
              <w:top w:w="80" w:type="dxa"/>
              <w:left w:w="120" w:type="dxa"/>
              <w:bottom w:w="80" w:type="dxa"/>
              <w:right w:w="120" w:type="dxa"/>
            </w:tcMar>
            <w:vAlign w:val="center"/>
          </w:tcPr>
          <w:p w14:paraId="23ECFBBA" w14:textId="77777777" w:rsidR="00AD43F1" w:rsidRDefault="00000000">
            <w:r>
              <w:rPr>
                <w:sz w:val="20"/>
                <w:szCs w:val="20"/>
              </w:rPr>
              <w:t>Can be seen or recovered after normal use</w:t>
            </w:r>
          </w:p>
        </w:tc>
      </w:tr>
      <w:tr w:rsidR="00AD43F1" w14:paraId="6B621D19" w14:textId="77777777">
        <w:tblPrEx>
          <w:tblCellMar>
            <w:top w:w="0" w:type="dxa"/>
            <w:bottom w:w="0" w:type="dxa"/>
          </w:tblCellMar>
        </w:tblPrEx>
        <w:tc>
          <w:tcPr>
            <w:tcW w:w="3200" w:type="dxa"/>
            <w:tcBorders>
              <w:top w:val="single" w:sz="2" w:space="0" w:color="CFCFCF"/>
              <w:left w:val="single" w:sz="2" w:space="0" w:color="CFCFCF"/>
              <w:bottom w:val="single" w:sz="2" w:space="0" w:color="CFCFCF"/>
              <w:right w:val="single" w:sz="2" w:space="0" w:color="CFCFCF"/>
            </w:tcBorders>
            <w:shd w:val="clear" w:color="auto" w:fill="F2F5FA"/>
            <w:tcMar>
              <w:top w:w="80" w:type="dxa"/>
              <w:left w:w="120" w:type="dxa"/>
              <w:bottom w:w="80" w:type="dxa"/>
              <w:right w:w="120" w:type="dxa"/>
            </w:tcMar>
            <w:vAlign w:val="center"/>
          </w:tcPr>
          <w:p w14:paraId="72D2206B" w14:textId="77777777" w:rsidR="00AD43F1" w:rsidRDefault="00000000">
            <w:r>
              <w:rPr>
                <w:sz w:val="20"/>
                <w:szCs w:val="20"/>
              </w:rPr>
              <w:t>Persistent</w:t>
            </w:r>
          </w:p>
        </w:tc>
        <w:tc>
          <w:tcPr>
            <w:tcW w:w="6160" w:type="dxa"/>
            <w:tcBorders>
              <w:top w:val="single" w:sz="2" w:space="0" w:color="CFCFCF"/>
              <w:left w:val="single" w:sz="2" w:space="0" w:color="CFCFCF"/>
              <w:bottom w:val="single" w:sz="2" w:space="0" w:color="CFCFCF"/>
              <w:right w:val="single" w:sz="2" w:space="0" w:color="CFCFCF"/>
            </w:tcBorders>
            <w:shd w:val="clear" w:color="auto" w:fill="F2F5FA"/>
            <w:tcMar>
              <w:top w:w="80" w:type="dxa"/>
              <w:left w:w="120" w:type="dxa"/>
              <w:bottom w:w="80" w:type="dxa"/>
              <w:right w:w="120" w:type="dxa"/>
            </w:tcMar>
            <w:vAlign w:val="center"/>
          </w:tcPr>
          <w:p w14:paraId="0232A149" w14:textId="77777777" w:rsidR="00AD43F1" w:rsidRDefault="00000000">
            <w:r>
              <w:rPr>
                <w:sz w:val="20"/>
                <w:szCs w:val="20"/>
              </w:rPr>
              <w:t>Still there after logout, deletion, or clearing the cache</w:t>
            </w:r>
          </w:p>
        </w:tc>
      </w:tr>
      <w:tr w:rsidR="00AD43F1" w14:paraId="16FB6677" w14:textId="77777777">
        <w:tblPrEx>
          <w:tblCellMar>
            <w:top w:w="0" w:type="dxa"/>
            <w:bottom w:w="0" w:type="dxa"/>
          </w:tblCellMar>
        </w:tblPrEx>
        <w:tc>
          <w:tcPr>
            <w:tcW w:w="3200" w:type="dxa"/>
            <w:tcBorders>
              <w:top w:val="single" w:sz="2" w:space="0" w:color="CFCFCF"/>
              <w:left w:val="single" w:sz="2" w:space="0" w:color="CFCFCF"/>
              <w:bottom w:val="single" w:sz="2" w:space="0" w:color="CFCFCF"/>
              <w:right w:val="single" w:sz="2" w:space="0" w:color="CFCFCF"/>
            </w:tcBorders>
            <w:tcMar>
              <w:top w:w="80" w:type="dxa"/>
              <w:left w:w="120" w:type="dxa"/>
              <w:bottom w:w="80" w:type="dxa"/>
              <w:right w:w="120" w:type="dxa"/>
            </w:tcMar>
            <w:vAlign w:val="center"/>
          </w:tcPr>
          <w:p w14:paraId="2E032F0A" w14:textId="77777777" w:rsidR="00AD43F1" w:rsidRDefault="00000000">
            <w:r>
              <w:rPr>
                <w:sz w:val="20"/>
                <w:szCs w:val="20"/>
              </w:rPr>
              <w:t>Deleted but recoverable</w:t>
            </w:r>
          </w:p>
        </w:tc>
        <w:tc>
          <w:tcPr>
            <w:tcW w:w="6160" w:type="dxa"/>
            <w:tcBorders>
              <w:top w:val="single" w:sz="2" w:space="0" w:color="CFCFCF"/>
              <w:left w:val="single" w:sz="2" w:space="0" w:color="CFCFCF"/>
              <w:bottom w:val="single" w:sz="2" w:space="0" w:color="CFCFCF"/>
              <w:right w:val="single" w:sz="2" w:space="0" w:color="CFCFCF"/>
            </w:tcBorders>
            <w:tcMar>
              <w:top w:w="80" w:type="dxa"/>
              <w:left w:w="120" w:type="dxa"/>
              <w:bottom w:w="80" w:type="dxa"/>
              <w:right w:w="120" w:type="dxa"/>
            </w:tcMar>
            <w:vAlign w:val="center"/>
          </w:tcPr>
          <w:p w14:paraId="4B304CB4" w14:textId="77777777" w:rsidR="00AD43F1" w:rsidRDefault="00000000">
            <w:r>
              <w:rPr>
                <w:sz w:val="20"/>
                <w:szCs w:val="20"/>
              </w:rPr>
              <w:t>Found in the WAL file, cache, backup, or leftover files</w:t>
            </w:r>
          </w:p>
        </w:tc>
      </w:tr>
      <w:tr w:rsidR="00AD43F1" w14:paraId="27BCD808" w14:textId="77777777">
        <w:tblPrEx>
          <w:tblCellMar>
            <w:top w:w="0" w:type="dxa"/>
            <w:bottom w:w="0" w:type="dxa"/>
          </w:tblCellMar>
        </w:tblPrEx>
        <w:tc>
          <w:tcPr>
            <w:tcW w:w="3200" w:type="dxa"/>
            <w:tcBorders>
              <w:top w:val="single" w:sz="2" w:space="0" w:color="CFCFCF"/>
              <w:left w:val="single" w:sz="2" w:space="0" w:color="CFCFCF"/>
              <w:bottom w:val="single" w:sz="2" w:space="0" w:color="CFCFCF"/>
              <w:right w:val="single" w:sz="2" w:space="0" w:color="CFCFCF"/>
            </w:tcBorders>
            <w:shd w:val="clear" w:color="auto" w:fill="F2F5FA"/>
            <w:tcMar>
              <w:top w:w="80" w:type="dxa"/>
              <w:left w:w="120" w:type="dxa"/>
              <w:bottom w:w="80" w:type="dxa"/>
              <w:right w:w="120" w:type="dxa"/>
            </w:tcMar>
            <w:vAlign w:val="center"/>
          </w:tcPr>
          <w:p w14:paraId="4596AB3D" w14:textId="77777777" w:rsidR="00AD43F1" w:rsidRDefault="00000000">
            <w:r>
              <w:rPr>
                <w:sz w:val="20"/>
                <w:szCs w:val="20"/>
              </w:rPr>
              <w:t>Metadata only</w:t>
            </w:r>
          </w:p>
        </w:tc>
        <w:tc>
          <w:tcPr>
            <w:tcW w:w="6160" w:type="dxa"/>
            <w:tcBorders>
              <w:top w:val="single" w:sz="2" w:space="0" w:color="CFCFCF"/>
              <w:left w:val="single" w:sz="2" w:space="0" w:color="CFCFCF"/>
              <w:bottom w:val="single" w:sz="2" w:space="0" w:color="CFCFCF"/>
              <w:right w:val="single" w:sz="2" w:space="0" w:color="CFCFCF"/>
            </w:tcBorders>
            <w:shd w:val="clear" w:color="auto" w:fill="F2F5FA"/>
            <w:tcMar>
              <w:top w:w="80" w:type="dxa"/>
              <w:left w:w="120" w:type="dxa"/>
              <w:bottom w:w="80" w:type="dxa"/>
              <w:right w:w="120" w:type="dxa"/>
            </w:tcMar>
            <w:vAlign w:val="center"/>
          </w:tcPr>
          <w:p w14:paraId="40340BFE" w14:textId="77777777" w:rsidR="00AD43F1" w:rsidRDefault="00000000">
            <w:r>
              <w:rPr>
                <w:sz w:val="20"/>
                <w:szCs w:val="20"/>
              </w:rPr>
              <w:t>An address or timestamp is there, but not the full detail</w:t>
            </w:r>
          </w:p>
        </w:tc>
      </w:tr>
      <w:tr w:rsidR="00AD43F1" w14:paraId="41EC02F0" w14:textId="77777777">
        <w:tblPrEx>
          <w:tblCellMar>
            <w:top w:w="0" w:type="dxa"/>
            <w:bottom w:w="0" w:type="dxa"/>
          </w:tblCellMar>
        </w:tblPrEx>
        <w:tc>
          <w:tcPr>
            <w:tcW w:w="3200" w:type="dxa"/>
            <w:tcBorders>
              <w:top w:val="single" w:sz="2" w:space="0" w:color="CFCFCF"/>
              <w:left w:val="single" w:sz="2" w:space="0" w:color="CFCFCF"/>
              <w:bottom w:val="single" w:sz="2" w:space="0" w:color="CFCFCF"/>
              <w:right w:val="single" w:sz="2" w:space="0" w:color="CFCFCF"/>
            </w:tcBorders>
            <w:tcMar>
              <w:top w:w="80" w:type="dxa"/>
              <w:left w:w="120" w:type="dxa"/>
              <w:bottom w:w="80" w:type="dxa"/>
              <w:right w:w="120" w:type="dxa"/>
            </w:tcMar>
            <w:vAlign w:val="center"/>
          </w:tcPr>
          <w:p w14:paraId="12B86CB2" w14:textId="77777777" w:rsidR="00AD43F1" w:rsidRDefault="00000000">
            <w:r>
              <w:rPr>
                <w:sz w:val="20"/>
                <w:szCs w:val="20"/>
              </w:rPr>
              <w:t>Not recoverable</w:t>
            </w:r>
          </w:p>
        </w:tc>
        <w:tc>
          <w:tcPr>
            <w:tcW w:w="6160" w:type="dxa"/>
            <w:tcBorders>
              <w:top w:val="single" w:sz="2" w:space="0" w:color="CFCFCF"/>
              <w:left w:val="single" w:sz="2" w:space="0" w:color="CFCFCF"/>
              <w:bottom w:val="single" w:sz="2" w:space="0" w:color="CFCFCF"/>
              <w:right w:val="single" w:sz="2" w:space="0" w:color="CFCFCF"/>
            </w:tcBorders>
            <w:tcMar>
              <w:top w:w="80" w:type="dxa"/>
              <w:left w:w="120" w:type="dxa"/>
              <w:bottom w:w="80" w:type="dxa"/>
              <w:right w:w="120" w:type="dxa"/>
            </w:tcMar>
            <w:vAlign w:val="center"/>
          </w:tcPr>
          <w:p w14:paraId="482EAE92" w14:textId="77777777" w:rsidR="00AD43F1" w:rsidRDefault="00000000">
            <w:r>
              <w:rPr>
                <w:sz w:val="20"/>
                <w:szCs w:val="20"/>
              </w:rPr>
              <w:t>Nothing found using the methods tested</w:t>
            </w:r>
          </w:p>
        </w:tc>
      </w:tr>
      <w:tr w:rsidR="00AD43F1" w14:paraId="244338DD" w14:textId="77777777">
        <w:tblPrEx>
          <w:tblCellMar>
            <w:top w:w="0" w:type="dxa"/>
            <w:bottom w:w="0" w:type="dxa"/>
          </w:tblCellMar>
        </w:tblPrEx>
        <w:tc>
          <w:tcPr>
            <w:tcW w:w="3200" w:type="dxa"/>
            <w:tcBorders>
              <w:top w:val="single" w:sz="2" w:space="0" w:color="CFCFCF"/>
              <w:left w:val="single" w:sz="2" w:space="0" w:color="CFCFCF"/>
              <w:bottom w:val="single" w:sz="2" w:space="0" w:color="CFCFCF"/>
              <w:right w:val="single" w:sz="2" w:space="0" w:color="CFCFCF"/>
            </w:tcBorders>
            <w:shd w:val="clear" w:color="auto" w:fill="F2F5FA"/>
            <w:tcMar>
              <w:top w:w="80" w:type="dxa"/>
              <w:left w:w="120" w:type="dxa"/>
              <w:bottom w:w="80" w:type="dxa"/>
              <w:right w:w="120" w:type="dxa"/>
            </w:tcMar>
            <w:vAlign w:val="center"/>
          </w:tcPr>
          <w:p w14:paraId="16397A3F" w14:textId="77777777" w:rsidR="00AD43F1" w:rsidRDefault="00000000">
            <w:r>
              <w:rPr>
                <w:sz w:val="20"/>
                <w:szCs w:val="20"/>
              </w:rPr>
              <w:t>Needs deeper access</w:t>
            </w:r>
          </w:p>
        </w:tc>
        <w:tc>
          <w:tcPr>
            <w:tcW w:w="6160" w:type="dxa"/>
            <w:tcBorders>
              <w:top w:val="single" w:sz="2" w:space="0" w:color="CFCFCF"/>
              <w:left w:val="single" w:sz="2" w:space="0" w:color="CFCFCF"/>
              <w:bottom w:val="single" w:sz="2" w:space="0" w:color="CFCFCF"/>
              <w:right w:val="single" w:sz="2" w:space="0" w:color="CFCFCF"/>
            </w:tcBorders>
            <w:shd w:val="clear" w:color="auto" w:fill="F2F5FA"/>
            <w:tcMar>
              <w:top w:w="80" w:type="dxa"/>
              <w:left w:w="120" w:type="dxa"/>
              <w:bottom w:w="80" w:type="dxa"/>
              <w:right w:w="120" w:type="dxa"/>
            </w:tcMar>
            <w:vAlign w:val="center"/>
          </w:tcPr>
          <w:p w14:paraId="36137A2F" w14:textId="77777777" w:rsidR="00AD43F1" w:rsidRDefault="00000000">
            <w:r>
              <w:rPr>
                <w:sz w:val="20"/>
                <w:szCs w:val="20"/>
              </w:rPr>
              <w:t>Only found through full filesystem or rooted access</w:t>
            </w:r>
          </w:p>
        </w:tc>
      </w:tr>
      <w:tr w:rsidR="00AD43F1" w14:paraId="1F024372" w14:textId="77777777">
        <w:tblPrEx>
          <w:tblCellMar>
            <w:top w:w="0" w:type="dxa"/>
            <w:bottom w:w="0" w:type="dxa"/>
          </w:tblCellMar>
        </w:tblPrEx>
        <w:tc>
          <w:tcPr>
            <w:tcW w:w="3200" w:type="dxa"/>
            <w:tcBorders>
              <w:top w:val="single" w:sz="2" w:space="0" w:color="CFCFCF"/>
              <w:left w:val="single" w:sz="2" w:space="0" w:color="CFCFCF"/>
              <w:bottom w:val="single" w:sz="2" w:space="0" w:color="CFCFCF"/>
              <w:right w:val="single" w:sz="2" w:space="0" w:color="CFCFCF"/>
            </w:tcBorders>
            <w:tcMar>
              <w:top w:w="80" w:type="dxa"/>
              <w:left w:w="120" w:type="dxa"/>
              <w:bottom w:w="80" w:type="dxa"/>
              <w:right w:w="120" w:type="dxa"/>
            </w:tcMar>
            <w:vAlign w:val="center"/>
          </w:tcPr>
          <w:p w14:paraId="41E93D51" w14:textId="77777777" w:rsidR="00AD43F1" w:rsidRDefault="00000000">
            <w:r>
              <w:rPr>
                <w:sz w:val="20"/>
                <w:szCs w:val="20"/>
              </w:rPr>
              <w:t>Cloud only</w:t>
            </w:r>
          </w:p>
        </w:tc>
        <w:tc>
          <w:tcPr>
            <w:tcW w:w="6160" w:type="dxa"/>
            <w:tcBorders>
              <w:top w:val="single" w:sz="2" w:space="0" w:color="CFCFCF"/>
              <w:left w:val="single" w:sz="2" w:space="0" w:color="CFCFCF"/>
              <w:bottom w:val="single" w:sz="2" w:space="0" w:color="CFCFCF"/>
              <w:right w:val="single" w:sz="2" w:space="0" w:color="CFCFCF"/>
            </w:tcBorders>
            <w:tcMar>
              <w:top w:w="80" w:type="dxa"/>
              <w:left w:w="120" w:type="dxa"/>
              <w:bottom w:w="80" w:type="dxa"/>
              <w:right w:w="120" w:type="dxa"/>
            </w:tcMar>
            <w:vAlign w:val="center"/>
          </w:tcPr>
          <w:p w14:paraId="2BE22DC2" w14:textId="77777777" w:rsidR="00AD43F1" w:rsidRDefault="00000000">
            <w:r>
              <w:rPr>
                <w:sz w:val="20"/>
                <w:szCs w:val="20"/>
              </w:rPr>
              <w:t>Not on the device at all, would need the provider's own records</w:t>
            </w:r>
          </w:p>
        </w:tc>
      </w:tr>
    </w:tbl>
    <w:p w14:paraId="34E22955" w14:textId="77777777" w:rsidR="00AD43F1" w:rsidRDefault="00000000">
      <w:pPr>
        <w:pStyle w:val="Heading2"/>
      </w:pPr>
      <w:bookmarkStart w:id="23" w:name="s38"/>
      <w:r>
        <w:t>3.8 How Much the Evidence Proves</w:t>
      </w:r>
      <w:bookmarkEnd w:id="23"/>
    </w:p>
    <w:p w14:paraId="63586F34" w14:textId="77777777" w:rsidR="00AD43F1" w:rsidRDefault="00000000">
      <w:pPr>
        <w:spacing w:after="180" w:line="360" w:lineRule="auto"/>
      </w:pPr>
      <w:r>
        <w:t>Not every artefact found is equally useful as evidence. Finding a wallet address on a device shows that the address was present, but it does not prove who controlled that wallet. This matters, because the blockchain research in Chapter 2 shows that even linking a wallet address to a person through clustering is based on probability, not certainty.</w:t>
      </w:r>
    </w:p>
    <w:p w14:paraId="52AF091D" w14:textId="77777777" w:rsidR="00AD43F1" w:rsidRDefault="00000000">
      <w:pPr>
        <w:spacing w:after="180" w:line="360" w:lineRule="auto"/>
      </w:pPr>
      <w:r>
        <w:t>Because of this, each type of artefact is given a simple rating.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200"/>
        <w:gridCol w:w="2960"/>
      </w:tblGrid>
      <w:tr w:rsidR="00AD43F1" w14:paraId="657BF8F9" w14:textId="77777777">
        <w:tblPrEx>
          <w:tblCellMar>
            <w:top w:w="0" w:type="dxa"/>
            <w:bottom w:w="0" w:type="dxa"/>
          </w:tblCellMar>
        </w:tblPrEx>
        <w:trPr>
          <w:tblHeader/>
        </w:trPr>
        <w:tc>
          <w:tcPr>
            <w:tcW w:w="2200" w:type="dxa"/>
            <w:tcBorders>
              <w:top w:val="single" w:sz="2" w:space="0" w:color="CFCFCF"/>
              <w:left w:val="single" w:sz="2" w:space="0" w:color="CFCFCF"/>
              <w:bottom w:val="single" w:sz="2" w:space="0" w:color="CFCFCF"/>
              <w:right w:val="single" w:sz="2" w:space="0" w:color="CFCFCF"/>
            </w:tcBorders>
            <w:shd w:val="clear" w:color="auto" w:fill="1F3864"/>
            <w:tcMar>
              <w:top w:w="80" w:type="dxa"/>
              <w:left w:w="120" w:type="dxa"/>
              <w:bottom w:w="80" w:type="dxa"/>
              <w:right w:w="120" w:type="dxa"/>
            </w:tcMar>
            <w:vAlign w:val="center"/>
          </w:tcPr>
          <w:p w14:paraId="1FFD749B" w14:textId="77777777" w:rsidR="00AD43F1" w:rsidRDefault="00000000">
            <w:r>
              <w:rPr>
                <w:b/>
                <w:bCs/>
                <w:color w:val="FFFFFF"/>
                <w:sz w:val="20"/>
                <w:szCs w:val="20"/>
              </w:rPr>
              <w:t>Rating</w:t>
            </w:r>
          </w:p>
        </w:tc>
        <w:tc>
          <w:tcPr>
            <w:tcW w:w="4200" w:type="dxa"/>
            <w:tcBorders>
              <w:top w:val="single" w:sz="2" w:space="0" w:color="CFCFCF"/>
              <w:left w:val="single" w:sz="2" w:space="0" w:color="CFCFCF"/>
              <w:bottom w:val="single" w:sz="2" w:space="0" w:color="CFCFCF"/>
              <w:right w:val="single" w:sz="2" w:space="0" w:color="CFCFCF"/>
            </w:tcBorders>
            <w:shd w:val="clear" w:color="auto" w:fill="1F3864"/>
            <w:tcMar>
              <w:top w:w="80" w:type="dxa"/>
              <w:left w:w="120" w:type="dxa"/>
              <w:bottom w:w="80" w:type="dxa"/>
              <w:right w:w="120" w:type="dxa"/>
            </w:tcMar>
            <w:vAlign w:val="center"/>
          </w:tcPr>
          <w:p w14:paraId="596F1455" w14:textId="77777777" w:rsidR="00AD43F1" w:rsidRDefault="00000000">
            <w:r>
              <w:rPr>
                <w:b/>
                <w:bCs/>
                <w:color w:val="FFFFFF"/>
                <w:sz w:val="20"/>
                <w:szCs w:val="20"/>
              </w:rPr>
              <w:t>Example</w:t>
            </w:r>
          </w:p>
        </w:tc>
        <w:tc>
          <w:tcPr>
            <w:tcW w:w="2960" w:type="dxa"/>
            <w:tcBorders>
              <w:top w:val="single" w:sz="2" w:space="0" w:color="CFCFCF"/>
              <w:left w:val="single" w:sz="2" w:space="0" w:color="CFCFCF"/>
              <w:bottom w:val="single" w:sz="2" w:space="0" w:color="CFCFCF"/>
              <w:right w:val="single" w:sz="2" w:space="0" w:color="CFCFCF"/>
            </w:tcBorders>
            <w:shd w:val="clear" w:color="auto" w:fill="1F3864"/>
            <w:tcMar>
              <w:top w:w="80" w:type="dxa"/>
              <w:left w:w="120" w:type="dxa"/>
              <w:bottom w:w="80" w:type="dxa"/>
              <w:right w:w="120" w:type="dxa"/>
            </w:tcMar>
            <w:vAlign w:val="center"/>
          </w:tcPr>
          <w:p w14:paraId="156BD94C" w14:textId="77777777" w:rsidR="00AD43F1" w:rsidRDefault="00000000">
            <w:r>
              <w:rPr>
                <w:b/>
                <w:bCs/>
                <w:color w:val="FFFFFF"/>
                <w:sz w:val="20"/>
                <w:szCs w:val="20"/>
              </w:rPr>
              <w:t>What it means</w:t>
            </w:r>
          </w:p>
        </w:tc>
      </w:tr>
      <w:tr w:rsidR="00AD43F1" w14:paraId="684D9A20" w14:textId="77777777">
        <w:tblPrEx>
          <w:tblCellMar>
            <w:top w:w="0" w:type="dxa"/>
            <w:bottom w:w="0" w:type="dxa"/>
          </w:tblCellMar>
        </w:tblPrEx>
        <w:tc>
          <w:tcPr>
            <w:tcW w:w="2200" w:type="dxa"/>
            <w:tcBorders>
              <w:top w:val="single" w:sz="2" w:space="0" w:color="CFCFCF"/>
              <w:left w:val="single" w:sz="2" w:space="0" w:color="CFCFCF"/>
              <w:bottom w:val="single" w:sz="2" w:space="0" w:color="CFCFCF"/>
              <w:right w:val="single" w:sz="2" w:space="0" w:color="CFCFCF"/>
            </w:tcBorders>
            <w:tcMar>
              <w:top w:w="80" w:type="dxa"/>
              <w:left w:w="120" w:type="dxa"/>
              <w:bottom w:w="80" w:type="dxa"/>
              <w:right w:w="120" w:type="dxa"/>
            </w:tcMar>
            <w:vAlign w:val="center"/>
          </w:tcPr>
          <w:p w14:paraId="600B436B" w14:textId="77777777" w:rsidR="00AD43F1" w:rsidRDefault="00000000">
            <w:r>
              <w:rPr>
                <w:sz w:val="20"/>
                <w:szCs w:val="20"/>
              </w:rPr>
              <w:t>High</w:t>
            </w:r>
          </w:p>
        </w:tc>
        <w:tc>
          <w:tcPr>
            <w:tcW w:w="4200" w:type="dxa"/>
            <w:tcBorders>
              <w:top w:val="single" w:sz="2" w:space="0" w:color="CFCFCF"/>
              <w:left w:val="single" w:sz="2" w:space="0" w:color="CFCFCF"/>
              <w:bottom w:val="single" w:sz="2" w:space="0" w:color="CFCFCF"/>
              <w:right w:val="single" w:sz="2" w:space="0" w:color="CFCFCF"/>
            </w:tcBorders>
            <w:tcMar>
              <w:top w:w="80" w:type="dxa"/>
              <w:left w:w="120" w:type="dxa"/>
              <w:bottom w:w="80" w:type="dxa"/>
              <w:right w:w="120" w:type="dxa"/>
            </w:tcMar>
            <w:vAlign w:val="center"/>
          </w:tcPr>
          <w:p w14:paraId="2B264D58" w14:textId="77777777" w:rsidR="00AD43F1" w:rsidRDefault="00000000">
            <w:r>
              <w:rPr>
                <w:sz w:val="20"/>
                <w:szCs w:val="20"/>
              </w:rPr>
              <w:t>Address, transaction ID, timestamp, app record, and a confirmed test-network transaction all together</w:t>
            </w:r>
          </w:p>
        </w:tc>
        <w:tc>
          <w:tcPr>
            <w:tcW w:w="2960" w:type="dxa"/>
            <w:tcBorders>
              <w:top w:val="single" w:sz="2" w:space="0" w:color="CFCFCF"/>
              <w:left w:val="single" w:sz="2" w:space="0" w:color="CFCFCF"/>
              <w:bottom w:val="single" w:sz="2" w:space="0" w:color="CFCFCF"/>
              <w:right w:val="single" w:sz="2" w:space="0" w:color="CFCFCF"/>
            </w:tcBorders>
            <w:tcMar>
              <w:top w:w="80" w:type="dxa"/>
              <w:left w:w="120" w:type="dxa"/>
              <w:bottom w:w="80" w:type="dxa"/>
              <w:right w:w="120" w:type="dxa"/>
            </w:tcMar>
            <w:vAlign w:val="center"/>
          </w:tcPr>
          <w:p w14:paraId="7771EAE7" w14:textId="77777777" w:rsidR="00AD43F1" w:rsidRDefault="00000000">
            <w:r>
              <w:rPr>
                <w:sz w:val="20"/>
                <w:szCs w:val="20"/>
              </w:rPr>
              <w:t>Strong support that the app was used</w:t>
            </w:r>
          </w:p>
        </w:tc>
      </w:tr>
      <w:tr w:rsidR="00AD43F1" w14:paraId="6F8983B0" w14:textId="77777777">
        <w:tblPrEx>
          <w:tblCellMar>
            <w:top w:w="0" w:type="dxa"/>
            <w:bottom w:w="0" w:type="dxa"/>
          </w:tblCellMar>
        </w:tblPrEx>
        <w:tc>
          <w:tcPr>
            <w:tcW w:w="2200" w:type="dxa"/>
            <w:tcBorders>
              <w:top w:val="single" w:sz="2" w:space="0" w:color="CFCFCF"/>
              <w:left w:val="single" w:sz="2" w:space="0" w:color="CFCFCF"/>
              <w:bottom w:val="single" w:sz="2" w:space="0" w:color="CFCFCF"/>
              <w:right w:val="single" w:sz="2" w:space="0" w:color="CFCFCF"/>
            </w:tcBorders>
            <w:shd w:val="clear" w:color="auto" w:fill="F2F5FA"/>
            <w:tcMar>
              <w:top w:w="80" w:type="dxa"/>
              <w:left w:w="120" w:type="dxa"/>
              <w:bottom w:w="80" w:type="dxa"/>
              <w:right w:w="120" w:type="dxa"/>
            </w:tcMar>
            <w:vAlign w:val="center"/>
          </w:tcPr>
          <w:p w14:paraId="041EA15C" w14:textId="77777777" w:rsidR="00AD43F1" w:rsidRDefault="00000000">
            <w:r>
              <w:rPr>
                <w:sz w:val="20"/>
                <w:szCs w:val="20"/>
              </w:rPr>
              <w:t>Medium</w:t>
            </w:r>
          </w:p>
        </w:tc>
        <w:tc>
          <w:tcPr>
            <w:tcW w:w="4200" w:type="dxa"/>
            <w:tcBorders>
              <w:top w:val="single" w:sz="2" w:space="0" w:color="CFCFCF"/>
              <w:left w:val="single" w:sz="2" w:space="0" w:color="CFCFCF"/>
              <w:bottom w:val="single" w:sz="2" w:space="0" w:color="CFCFCF"/>
              <w:right w:val="single" w:sz="2" w:space="0" w:color="CFCFCF"/>
            </w:tcBorders>
            <w:shd w:val="clear" w:color="auto" w:fill="F2F5FA"/>
            <w:tcMar>
              <w:top w:w="80" w:type="dxa"/>
              <w:left w:w="120" w:type="dxa"/>
              <w:bottom w:w="80" w:type="dxa"/>
              <w:right w:w="120" w:type="dxa"/>
            </w:tcMar>
            <w:vAlign w:val="center"/>
          </w:tcPr>
          <w:p w14:paraId="2620F0D5" w14:textId="77777777" w:rsidR="00AD43F1" w:rsidRDefault="00000000">
            <w:r>
              <w:rPr>
                <w:sz w:val="20"/>
                <w:szCs w:val="20"/>
              </w:rPr>
              <w:t>Address found only in cache or settings</w:t>
            </w:r>
          </w:p>
        </w:tc>
        <w:tc>
          <w:tcPr>
            <w:tcW w:w="2960" w:type="dxa"/>
            <w:tcBorders>
              <w:top w:val="single" w:sz="2" w:space="0" w:color="CFCFCF"/>
              <w:left w:val="single" w:sz="2" w:space="0" w:color="CFCFCF"/>
              <w:bottom w:val="single" w:sz="2" w:space="0" w:color="CFCFCF"/>
              <w:right w:val="single" w:sz="2" w:space="0" w:color="CFCFCF"/>
            </w:tcBorders>
            <w:shd w:val="clear" w:color="auto" w:fill="F2F5FA"/>
            <w:tcMar>
              <w:top w:w="80" w:type="dxa"/>
              <w:left w:w="120" w:type="dxa"/>
              <w:bottom w:w="80" w:type="dxa"/>
              <w:right w:w="120" w:type="dxa"/>
            </w:tcMar>
            <w:vAlign w:val="center"/>
          </w:tcPr>
          <w:p w14:paraId="58C3EDE0" w14:textId="77777777" w:rsidR="00AD43F1" w:rsidRDefault="00000000">
            <w:r>
              <w:rPr>
                <w:sz w:val="20"/>
                <w:szCs w:val="20"/>
              </w:rPr>
              <w:t>Shows a link, but not control</w:t>
            </w:r>
          </w:p>
        </w:tc>
      </w:tr>
      <w:tr w:rsidR="00AD43F1" w14:paraId="0E0BE6E9" w14:textId="77777777">
        <w:tblPrEx>
          <w:tblCellMar>
            <w:top w:w="0" w:type="dxa"/>
            <w:bottom w:w="0" w:type="dxa"/>
          </w:tblCellMar>
        </w:tblPrEx>
        <w:tc>
          <w:tcPr>
            <w:tcW w:w="2200" w:type="dxa"/>
            <w:tcBorders>
              <w:top w:val="single" w:sz="2" w:space="0" w:color="CFCFCF"/>
              <w:left w:val="single" w:sz="2" w:space="0" w:color="CFCFCF"/>
              <w:bottom w:val="single" w:sz="2" w:space="0" w:color="CFCFCF"/>
              <w:right w:val="single" w:sz="2" w:space="0" w:color="CFCFCF"/>
            </w:tcBorders>
            <w:tcMar>
              <w:top w:w="80" w:type="dxa"/>
              <w:left w:w="120" w:type="dxa"/>
              <w:bottom w:w="80" w:type="dxa"/>
              <w:right w:w="120" w:type="dxa"/>
            </w:tcMar>
            <w:vAlign w:val="center"/>
          </w:tcPr>
          <w:p w14:paraId="098DE490" w14:textId="77777777" w:rsidR="00AD43F1" w:rsidRDefault="00000000">
            <w:r>
              <w:rPr>
                <w:sz w:val="20"/>
                <w:szCs w:val="20"/>
              </w:rPr>
              <w:t>Medium</w:t>
            </w:r>
          </w:p>
        </w:tc>
        <w:tc>
          <w:tcPr>
            <w:tcW w:w="4200" w:type="dxa"/>
            <w:tcBorders>
              <w:top w:val="single" w:sz="2" w:space="0" w:color="CFCFCF"/>
              <w:left w:val="single" w:sz="2" w:space="0" w:color="CFCFCF"/>
              <w:bottom w:val="single" w:sz="2" w:space="0" w:color="CFCFCF"/>
              <w:right w:val="single" w:sz="2" w:space="0" w:color="CFCFCF"/>
            </w:tcBorders>
            <w:tcMar>
              <w:top w:w="80" w:type="dxa"/>
              <w:left w:w="120" w:type="dxa"/>
              <w:bottom w:w="80" w:type="dxa"/>
              <w:right w:w="120" w:type="dxa"/>
            </w:tcMar>
            <w:vAlign w:val="center"/>
          </w:tcPr>
          <w:p w14:paraId="238611E6" w14:textId="77777777" w:rsidR="00AD43F1" w:rsidRDefault="00000000">
            <w:r>
              <w:rPr>
                <w:sz w:val="20"/>
                <w:szCs w:val="20"/>
              </w:rPr>
              <w:t>A connected app (</w:t>
            </w:r>
            <w:proofErr w:type="spellStart"/>
            <w:r>
              <w:rPr>
                <w:sz w:val="20"/>
                <w:szCs w:val="20"/>
              </w:rPr>
              <w:t>dApp</w:t>
            </w:r>
            <w:proofErr w:type="spellEnd"/>
            <w:r>
              <w:rPr>
                <w:sz w:val="20"/>
                <w:szCs w:val="20"/>
              </w:rPr>
              <w:t>) address</w:t>
            </w:r>
          </w:p>
        </w:tc>
        <w:tc>
          <w:tcPr>
            <w:tcW w:w="2960" w:type="dxa"/>
            <w:tcBorders>
              <w:top w:val="single" w:sz="2" w:space="0" w:color="CFCFCF"/>
              <w:left w:val="single" w:sz="2" w:space="0" w:color="CFCFCF"/>
              <w:bottom w:val="single" w:sz="2" w:space="0" w:color="CFCFCF"/>
              <w:right w:val="single" w:sz="2" w:space="0" w:color="CFCFCF"/>
            </w:tcBorders>
            <w:tcMar>
              <w:top w:w="80" w:type="dxa"/>
              <w:left w:w="120" w:type="dxa"/>
              <w:bottom w:w="80" w:type="dxa"/>
              <w:right w:w="120" w:type="dxa"/>
            </w:tcMar>
            <w:vAlign w:val="center"/>
          </w:tcPr>
          <w:p w14:paraId="69697720" w14:textId="77777777" w:rsidR="00AD43F1" w:rsidRDefault="00000000">
            <w:r>
              <w:rPr>
                <w:sz w:val="20"/>
                <w:szCs w:val="20"/>
              </w:rPr>
              <w:t>Shows the wallet interacted with a service</w:t>
            </w:r>
          </w:p>
        </w:tc>
      </w:tr>
      <w:tr w:rsidR="00AD43F1" w14:paraId="0BC1AA88" w14:textId="77777777">
        <w:tblPrEx>
          <w:tblCellMar>
            <w:top w:w="0" w:type="dxa"/>
            <w:bottom w:w="0" w:type="dxa"/>
          </w:tblCellMar>
        </w:tblPrEx>
        <w:tc>
          <w:tcPr>
            <w:tcW w:w="2200" w:type="dxa"/>
            <w:tcBorders>
              <w:top w:val="single" w:sz="2" w:space="0" w:color="CFCFCF"/>
              <w:left w:val="single" w:sz="2" w:space="0" w:color="CFCFCF"/>
              <w:bottom w:val="single" w:sz="2" w:space="0" w:color="CFCFCF"/>
              <w:right w:val="single" w:sz="2" w:space="0" w:color="CFCFCF"/>
            </w:tcBorders>
            <w:shd w:val="clear" w:color="auto" w:fill="F2F5FA"/>
            <w:tcMar>
              <w:top w:w="80" w:type="dxa"/>
              <w:left w:w="120" w:type="dxa"/>
              <w:bottom w:w="80" w:type="dxa"/>
              <w:right w:w="120" w:type="dxa"/>
            </w:tcMar>
            <w:vAlign w:val="center"/>
          </w:tcPr>
          <w:p w14:paraId="79A63BC7" w14:textId="77777777" w:rsidR="00AD43F1" w:rsidRDefault="00000000">
            <w:r>
              <w:rPr>
                <w:sz w:val="20"/>
                <w:szCs w:val="20"/>
              </w:rPr>
              <w:t>Low</w:t>
            </w:r>
          </w:p>
        </w:tc>
        <w:tc>
          <w:tcPr>
            <w:tcW w:w="4200" w:type="dxa"/>
            <w:tcBorders>
              <w:top w:val="single" w:sz="2" w:space="0" w:color="CFCFCF"/>
              <w:left w:val="single" w:sz="2" w:space="0" w:color="CFCFCF"/>
              <w:bottom w:val="single" w:sz="2" w:space="0" w:color="CFCFCF"/>
              <w:right w:val="single" w:sz="2" w:space="0" w:color="CFCFCF"/>
            </w:tcBorders>
            <w:shd w:val="clear" w:color="auto" w:fill="F2F5FA"/>
            <w:tcMar>
              <w:top w:w="80" w:type="dxa"/>
              <w:left w:w="120" w:type="dxa"/>
              <w:bottom w:w="80" w:type="dxa"/>
              <w:right w:w="120" w:type="dxa"/>
            </w:tcMar>
            <w:vAlign w:val="center"/>
          </w:tcPr>
          <w:p w14:paraId="795037E7" w14:textId="77777777" w:rsidR="00AD43F1" w:rsidRDefault="00000000">
            <w:r>
              <w:rPr>
                <w:sz w:val="20"/>
                <w:szCs w:val="20"/>
              </w:rPr>
              <w:t>Only a token logo or cache file</w:t>
            </w:r>
          </w:p>
        </w:tc>
        <w:tc>
          <w:tcPr>
            <w:tcW w:w="2960" w:type="dxa"/>
            <w:tcBorders>
              <w:top w:val="single" w:sz="2" w:space="0" w:color="CFCFCF"/>
              <w:left w:val="single" w:sz="2" w:space="0" w:color="CFCFCF"/>
              <w:bottom w:val="single" w:sz="2" w:space="0" w:color="CFCFCF"/>
              <w:right w:val="single" w:sz="2" w:space="0" w:color="CFCFCF"/>
            </w:tcBorders>
            <w:shd w:val="clear" w:color="auto" w:fill="F2F5FA"/>
            <w:tcMar>
              <w:top w:w="80" w:type="dxa"/>
              <w:left w:w="120" w:type="dxa"/>
              <w:bottom w:w="80" w:type="dxa"/>
              <w:right w:w="120" w:type="dxa"/>
            </w:tcMar>
            <w:vAlign w:val="center"/>
          </w:tcPr>
          <w:p w14:paraId="157D8771" w14:textId="77777777" w:rsidR="00AD43F1" w:rsidRDefault="00000000">
            <w:r>
              <w:rPr>
                <w:sz w:val="20"/>
                <w:szCs w:val="20"/>
              </w:rPr>
              <w:t>Some context, weak on its own</w:t>
            </w:r>
          </w:p>
        </w:tc>
      </w:tr>
      <w:tr w:rsidR="00AD43F1" w14:paraId="3982A427" w14:textId="77777777">
        <w:tblPrEx>
          <w:tblCellMar>
            <w:top w:w="0" w:type="dxa"/>
            <w:bottom w:w="0" w:type="dxa"/>
          </w:tblCellMar>
        </w:tblPrEx>
        <w:tc>
          <w:tcPr>
            <w:tcW w:w="2200" w:type="dxa"/>
            <w:tcBorders>
              <w:top w:val="single" w:sz="2" w:space="0" w:color="CFCFCF"/>
              <w:left w:val="single" w:sz="2" w:space="0" w:color="CFCFCF"/>
              <w:bottom w:val="single" w:sz="2" w:space="0" w:color="CFCFCF"/>
              <w:right w:val="single" w:sz="2" w:space="0" w:color="CFCFCF"/>
            </w:tcBorders>
            <w:tcMar>
              <w:top w:w="80" w:type="dxa"/>
              <w:left w:w="120" w:type="dxa"/>
              <w:bottom w:w="80" w:type="dxa"/>
              <w:right w:w="120" w:type="dxa"/>
            </w:tcMar>
            <w:vAlign w:val="center"/>
          </w:tcPr>
          <w:p w14:paraId="1FB7EAE4" w14:textId="77777777" w:rsidR="00AD43F1" w:rsidRDefault="00000000">
            <w:r>
              <w:rPr>
                <w:sz w:val="20"/>
                <w:szCs w:val="20"/>
              </w:rPr>
              <w:lastRenderedPageBreak/>
              <w:t>Low</w:t>
            </w:r>
          </w:p>
        </w:tc>
        <w:tc>
          <w:tcPr>
            <w:tcW w:w="4200" w:type="dxa"/>
            <w:tcBorders>
              <w:top w:val="single" w:sz="2" w:space="0" w:color="CFCFCF"/>
              <w:left w:val="single" w:sz="2" w:space="0" w:color="CFCFCF"/>
              <w:bottom w:val="single" w:sz="2" w:space="0" w:color="CFCFCF"/>
              <w:right w:val="single" w:sz="2" w:space="0" w:color="CFCFCF"/>
            </w:tcBorders>
            <w:tcMar>
              <w:top w:w="80" w:type="dxa"/>
              <w:left w:w="120" w:type="dxa"/>
              <w:bottom w:w="80" w:type="dxa"/>
              <w:right w:w="120" w:type="dxa"/>
            </w:tcMar>
            <w:vAlign w:val="center"/>
          </w:tcPr>
          <w:p w14:paraId="6DBAEB3E" w14:textId="77777777" w:rsidR="00AD43F1" w:rsidRDefault="00000000">
            <w:r>
              <w:rPr>
                <w:sz w:val="20"/>
                <w:szCs w:val="20"/>
              </w:rPr>
              <w:t>Only a public blockchain transaction, with nothing on the device</w:t>
            </w:r>
          </w:p>
        </w:tc>
        <w:tc>
          <w:tcPr>
            <w:tcW w:w="2960" w:type="dxa"/>
            <w:tcBorders>
              <w:top w:val="single" w:sz="2" w:space="0" w:color="CFCFCF"/>
              <w:left w:val="single" w:sz="2" w:space="0" w:color="CFCFCF"/>
              <w:bottom w:val="single" w:sz="2" w:space="0" w:color="CFCFCF"/>
              <w:right w:val="single" w:sz="2" w:space="0" w:color="CFCFCF"/>
            </w:tcBorders>
            <w:tcMar>
              <w:top w:w="80" w:type="dxa"/>
              <w:left w:w="120" w:type="dxa"/>
              <w:bottom w:w="80" w:type="dxa"/>
              <w:right w:w="120" w:type="dxa"/>
            </w:tcMar>
            <w:vAlign w:val="center"/>
          </w:tcPr>
          <w:p w14:paraId="36DF8F21" w14:textId="77777777" w:rsidR="00AD43F1" w:rsidRDefault="00000000">
            <w:r>
              <w:rPr>
                <w:sz w:val="20"/>
                <w:szCs w:val="20"/>
              </w:rPr>
              <w:t>Needs support from device, app, or user evidence</w:t>
            </w:r>
          </w:p>
        </w:tc>
      </w:tr>
      <w:tr w:rsidR="00AD43F1" w14:paraId="1BADE66B" w14:textId="77777777">
        <w:tblPrEx>
          <w:tblCellMar>
            <w:top w:w="0" w:type="dxa"/>
            <w:bottom w:w="0" w:type="dxa"/>
          </w:tblCellMar>
        </w:tblPrEx>
        <w:tc>
          <w:tcPr>
            <w:tcW w:w="2200" w:type="dxa"/>
            <w:tcBorders>
              <w:top w:val="single" w:sz="2" w:space="0" w:color="CFCFCF"/>
              <w:left w:val="single" w:sz="2" w:space="0" w:color="CFCFCF"/>
              <w:bottom w:val="single" w:sz="2" w:space="0" w:color="CFCFCF"/>
              <w:right w:val="single" w:sz="2" w:space="0" w:color="CFCFCF"/>
            </w:tcBorders>
            <w:shd w:val="clear" w:color="auto" w:fill="F2F5FA"/>
            <w:tcMar>
              <w:top w:w="80" w:type="dxa"/>
              <w:left w:w="120" w:type="dxa"/>
              <w:bottom w:w="80" w:type="dxa"/>
              <w:right w:w="120" w:type="dxa"/>
            </w:tcMar>
            <w:vAlign w:val="center"/>
          </w:tcPr>
          <w:p w14:paraId="63E04ABA" w14:textId="77777777" w:rsidR="00AD43F1" w:rsidRDefault="00000000">
            <w:r>
              <w:rPr>
                <w:sz w:val="20"/>
                <w:szCs w:val="20"/>
              </w:rPr>
              <w:t>High but sensitive</w:t>
            </w:r>
          </w:p>
        </w:tc>
        <w:tc>
          <w:tcPr>
            <w:tcW w:w="4200" w:type="dxa"/>
            <w:tcBorders>
              <w:top w:val="single" w:sz="2" w:space="0" w:color="CFCFCF"/>
              <w:left w:val="single" w:sz="2" w:space="0" w:color="CFCFCF"/>
              <w:bottom w:val="single" w:sz="2" w:space="0" w:color="CFCFCF"/>
              <w:right w:val="single" w:sz="2" w:space="0" w:color="CFCFCF"/>
            </w:tcBorders>
            <w:shd w:val="clear" w:color="auto" w:fill="F2F5FA"/>
            <w:tcMar>
              <w:top w:w="80" w:type="dxa"/>
              <w:left w:w="120" w:type="dxa"/>
              <w:bottom w:w="80" w:type="dxa"/>
              <w:right w:w="120" w:type="dxa"/>
            </w:tcMar>
            <w:vAlign w:val="center"/>
          </w:tcPr>
          <w:p w14:paraId="2E9FA441" w14:textId="77777777" w:rsidR="00AD43F1" w:rsidRDefault="00000000">
            <w:r>
              <w:rPr>
                <w:sz w:val="20"/>
                <w:szCs w:val="20"/>
              </w:rPr>
              <w:t>A screenshot of a seed phrase on the test device</w:t>
            </w:r>
          </w:p>
        </w:tc>
        <w:tc>
          <w:tcPr>
            <w:tcW w:w="2960" w:type="dxa"/>
            <w:tcBorders>
              <w:top w:val="single" w:sz="2" w:space="0" w:color="CFCFCF"/>
              <w:left w:val="single" w:sz="2" w:space="0" w:color="CFCFCF"/>
              <w:bottom w:val="single" w:sz="2" w:space="0" w:color="CFCFCF"/>
              <w:right w:val="single" w:sz="2" w:space="0" w:color="CFCFCF"/>
            </w:tcBorders>
            <w:shd w:val="clear" w:color="auto" w:fill="F2F5FA"/>
            <w:tcMar>
              <w:top w:w="80" w:type="dxa"/>
              <w:left w:w="120" w:type="dxa"/>
              <w:bottom w:w="80" w:type="dxa"/>
              <w:right w:w="120" w:type="dxa"/>
            </w:tcMar>
            <w:vAlign w:val="center"/>
          </w:tcPr>
          <w:p w14:paraId="3D6D0D8E" w14:textId="77777777" w:rsidR="00AD43F1" w:rsidRDefault="00000000">
            <w:r>
              <w:rPr>
                <w:sz w:val="20"/>
                <w:szCs w:val="20"/>
              </w:rPr>
              <w:t>Strong evidence, but must be handled carefully and redacted before sharing</w:t>
            </w:r>
          </w:p>
        </w:tc>
      </w:tr>
    </w:tbl>
    <w:p w14:paraId="796D4493" w14:textId="77777777" w:rsidR="00AD43F1" w:rsidRDefault="00000000">
      <w:pPr>
        <w:spacing w:after="180" w:line="360" w:lineRule="auto"/>
      </w:pPr>
      <w:r>
        <w:t>When writing up the results, this thesis will always separate two different claims. First, an artefact can show that a device, an app, and a wallet address are connected. Second, a stronger claim, that a specific person owned or controlled that wallet, needs more than one artefact. It needs to be backed up by other evidence, such as records of the transaction being signed, exchange account records, messages, or an admission from the person involved.</w:t>
      </w:r>
    </w:p>
    <w:p w14:paraId="6FECB3F6" w14:textId="77777777" w:rsidR="00AD43F1" w:rsidRDefault="00000000">
      <w:pPr>
        <w:pStyle w:val="Heading2"/>
      </w:pPr>
      <w:bookmarkStart w:id="24" w:name="s39"/>
      <w:r>
        <w:t>3.9 Tools Used</w:t>
      </w:r>
      <w:bookmarkEnd w:id="24"/>
    </w:p>
    <w:p w14:paraId="66C0C83F" w14:textId="77777777" w:rsidR="00AD43F1" w:rsidRDefault="00000000">
      <w:pPr>
        <w:spacing w:after="180" w:line="360" w:lineRule="auto"/>
      </w:pPr>
      <w:r>
        <w:t xml:space="preserve">The tools planned for this research include Android Studio Emulator, Android Debug Bridge (ADB), Autopsy and ALEAPP for going through recovered files, DB Browser for SQLite and the sqlite3 command line tool for looking at databases, and JADX, </w:t>
      </w:r>
      <w:proofErr w:type="spellStart"/>
      <w:r>
        <w:t>APKTool</w:t>
      </w:r>
      <w:proofErr w:type="spellEnd"/>
      <w:r>
        <w:t xml:space="preserve">, and </w:t>
      </w:r>
      <w:proofErr w:type="spellStart"/>
      <w:r>
        <w:t>MobSF</w:t>
      </w:r>
      <w:proofErr w:type="spellEnd"/>
      <w:r>
        <w:t xml:space="preserve"> for looking inside the apps themselves. For searching, </w:t>
      </w:r>
      <w:proofErr w:type="spellStart"/>
      <w:r>
        <w:t>ripgrep</w:t>
      </w:r>
      <w:proofErr w:type="spellEnd"/>
      <w:r>
        <w:t xml:space="preserve">, strings, and </w:t>
      </w:r>
      <w:proofErr w:type="spellStart"/>
      <w:r>
        <w:t>CyberChef</w:t>
      </w:r>
      <w:proofErr w:type="spellEnd"/>
      <w:r>
        <w:t xml:space="preserve"> will be used. </w:t>
      </w:r>
      <w:proofErr w:type="spellStart"/>
      <w:r>
        <w:t>Plaso</w:t>
      </w:r>
      <w:proofErr w:type="spellEnd"/>
      <w:r>
        <w:t xml:space="preserve"> or log2timeline may be used for building a timeline if needed. File integrity will be checked with sha256sum and </w:t>
      </w:r>
      <w:proofErr w:type="spellStart"/>
      <w:r>
        <w:t>hashdeep</w:t>
      </w:r>
      <w:proofErr w:type="spellEnd"/>
      <w:r>
        <w:t>. Test transactions will be checked using public test-network block explorers. All steps and findings will be written down in a chain-of-custody log and a research diary as the work goes on.</w:t>
      </w:r>
    </w:p>
    <w:p w14:paraId="0CCEF7AD" w14:textId="77777777" w:rsidR="00AD43F1" w:rsidRDefault="00000000">
      <w:pPr>
        <w:pStyle w:val="Heading2"/>
      </w:pPr>
      <w:bookmarkStart w:id="25" w:name="s310"/>
      <w:r>
        <w:t>3.10 Ethics</w:t>
      </w:r>
      <w:bookmarkEnd w:id="25"/>
    </w:p>
    <w:p w14:paraId="7B0052B4" w14:textId="77777777" w:rsidR="00AD43F1" w:rsidRDefault="00000000">
      <w:pPr>
        <w:spacing w:after="180" w:line="360" w:lineRule="auto"/>
      </w:pPr>
      <w:r>
        <w:t>Only test wallets, test transactions, and a researcher-owned test device are used in this project. No real people's wallets or data are used at any point.</w:t>
      </w:r>
    </w:p>
    <w:p w14:paraId="5671BFB2" w14:textId="77777777" w:rsidR="00AD43F1" w:rsidRDefault="00000000">
      <w:pPr>
        <w:spacing w:after="180" w:line="360" w:lineRule="auto"/>
      </w:pPr>
      <w:r>
        <w:t xml:space="preserve">Ethics approval through CURES has already been given for this project. This approval currently covers the stage of the work that does not involve collecting any real data, such as planning the method, setting up the test device, and preparing the wallets. Before moving into the stage where test data is </w:t>
      </w:r>
      <w:proofErr w:type="gramStart"/>
      <w:r>
        <w:t>actually collected</w:t>
      </w:r>
      <w:proofErr w:type="gramEnd"/>
      <w:r>
        <w:t xml:space="preserve">, for </w:t>
      </w:r>
      <w:r>
        <w:lastRenderedPageBreak/>
        <w:t>example creating wallets, sending test transactions, and taking forensic captures, this will be confirmed as fully covered with the supervisor. This is treated as a firm requirement. The module rules state that a thesis cannot be marked without confirmed ethics approval in place, and data collection should not start before that is settled.</w:t>
      </w:r>
    </w:p>
    <w:p w14:paraId="64D3F6B0" w14:textId="77777777" w:rsidR="00AD43F1" w:rsidRDefault="00000000">
      <w:pPr>
        <w:pStyle w:val="Heading2"/>
      </w:pPr>
      <w:bookmarkStart w:id="26" w:name="s311"/>
      <w:r>
        <w:t>3.11 Limits of This Study</w:t>
      </w:r>
      <w:bookmarkEnd w:id="26"/>
    </w:p>
    <w:p w14:paraId="32ABB4C6" w14:textId="77777777" w:rsidR="00AD43F1" w:rsidRDefault="00000000">
      <w:pPr>
        <w:spacing w:after="180" w:line="360" w:lineRule="auto"/>
      </w:pPr>
      <w:r>
        <w:t>Using an emulator instead of a real phone makes testing easier to repeat, but it may not behave exactly like a real phone's hardware-backed key storage. This is treated as a known limit, not a hidden one. How much RQ3 can compare also depends on whether the university can provide access to a commercial forensic tool. If not, RQ3 will only compare two methods: basic ADB access and full rooted access. Results are also specific to the exact app versions tested, which will be recorded, since wallet apps update often and may change how they store data over time.</w:t>
      </w:r>
    </w:p>
    <w:p w14:paraId="0042ECEB" w14:textId="77777777" w:rsidR="00AD43F1" w:rsidRDefault="00000000">
      <w:pPr>
        <w:pStyle w:val="Heading1"/>
      </w:pPr>
      <w:bookmarkStart w:id="27" w:name="chap4"/>
      <w:r>
        <w:lastRenderedPageBreak/>
        <w:t>Chapter 4: Experiment Setup</w:t>
      </w:r>
      <w:bookmarkEnd w:id="27"/>
    </w:p>
    <w:p w14:paraId="2287B6CF" w14:textId="77777777" w:rsidR="00AD43F1" w:rsidRDefault="00000000">
      <w:pPr>
        <w:spacing w:after="180" w:line="360" w:lineRule="auto"/>
      </w:pPr>
      <w:r>
        <w:t>Not yet written. This chapter will describe the exact device used, the Android and app versions, the test wallets and test-network transactions used, and the full experiment log, once testing begins.</w:t>
      </w:r>
    </w:p>
    <w:p w14:paraId="4B7CE8F5" w14:textId="77777777" w:rsidR="00AD43F1" w:rsidRDefault="00000000">
      <w:pPr>
        <w:pStyle w:val="Heading1"/>
      </w:pPr>
      <w:bookmarkStart w:id="28" w:name="chap5"/>
      <w:r>
        <w:lastRenderedPageBreak/>
        <w:t>Chapter 5: Results</w:t>
      </w:r>
      <w:bookmarkEnd w:id="28"/>
    </w:p>
    <w:p w14:paraId="1201EB5A" w14:textId="77777777" w:rsidR="00AD43F1" w:rsidRDefault="00000000">
      <w:pPr>
        <w:spacing w:after="180" w:line="360" w:lineRule="auto"/>
      </w:pPr>
      <w:r>
        <w:t>Not yet written. This chapter will present the artefacts found for each app, with file paths, timestamps, database records, screenshots, and file hashes.</w:t>
      </w:r>
    </w:p>
    <w:p w14:paraId="6EAEA832" w14:textId="77777777" w:rsidR="00AD43F1" w:rsidRDefault="00000000">
      <w:pPr>
        <w:pStyle w:val="Heading1"/>
      </w:pPr>
      <w:bookmarkStart w:id="29" w:name="chap6"/>
      <w:r>
        <w:lastRenderedPageBreak/>
        <w:t>Chapter 6: Persistence Analysis</w:t>
      </w:r>
      <w:bookmarkEnd w:id="29"/>
    </w:p>
    <w:p w14:paraId="3D777176" w14:textId="77777777" w:rsidR="00AD43F1" w:rsidRDefault="00000000">
      <w:pPr>
        <w:spacing w:after="180" w:line="360" w:lineRule="auto"/>
      </w:pPr>
      <w:r>
        <w:t>Not yet written. This chapter will show what survived logout, deletion, clearing the cache, clearing storage, uninstalling, reinstalling, and backup and restore, for each app.</w:t>
      </w:r>
    </w:p>
    <w:p w14:paraId="2A4899E7" w14:textId="77777777" w:rsidR="00AD43F1" w:rsidRDefault="00000000">
      <w:pPr>
        <w:pStyle w:val="Heading1"/>
      </w:pPr>
      <w:bookmarkStart w:id="30" w:name="chap7"/>
      <w:r>
        <w:lastRenderedPageBreak/>
        <w:t>Chapter 7: Evidential Value Discussion</w:t>
      </w:r>
      <w:bookmarkEnd w:id="30"/>
    </w:p>
    <w:p w14:paraId="3E450B2F" w14:textId="77777777" w:rsidR="00AD43F1" w:rsidRDefault="00000000">
      <w:pPr>
        <w:spacing w:after="180" w:line="360" w:lineRule="auto"/>
      </w:pPr>
      <w:r>
        <w:t xml:space="preserve">Not yet written. This chapter will apply the scoring system from Section 3.8 to the actual </w:t>
      </w:r>
      <w:proofErr w:type="gramStart"/>
      <w:r>
        <w:t>results, and</w:t>
      </w:r>
      <w:proofErr w:type="gramEnd"/>
      <w:r>
        <w:t xml:space="preserve"> discuss what can and cannot be claimed from the evidence found.</w:t>
      </w:r>
    </w:p>
    <w:p w14:paraId="79CAE2DC" w14:textId="77777777" w:rsidR="00AD43F1" w:rsidRDefault="00000000">
      <w:pPr>
        <w:pStyle w:val="Heading1"/>
      </w:pPr>
      <w:bookmarkStart w:id="31" w:name="chap8"/>
      <w:r>
        <w:lastRenderedPageBreak/>
        <w:t>Chapter 8: Conclusion and Future Work</w:t>
      </w:r>
      <w:bookmarkEnd w:id="31"/>
    </w:p>
    <w:p w14:paraId="776E1B7D" w14:textId="77777777" w:rsidR="00AD43F1" w:rsidRDefault="00000000">
      <w:pPr>
        <w:spacing w:after="180" w:line="360" w:lineRule="auto"/>
      </w:pPr>
      <w:r>
        <w:t xml:space="preserve">Not yet written. This chapter will </w:t>
      </w:r>
      <w:proofErr w:type="spellStart"/>
      <w:r>
        <w:t>summarise</w:t>
      </w:r>
      <w:proofErr w:type="spellEnd"/>
      <w:r>
        <w:t xml:space="preserve"> the contributions of the thesis, answer each of the four research questions directly, and suggest recommendations for investigators and for wallet app developers.</w:t>
      </w:r>
    </w:p>
    <w:p w14:paraId="56217721" w14:textId="77777777" w:rsidR="00AD43F1" w:rsidRDefault="00000000">
      <w:pPr>
        <w:pStyle w:val="Heading1"/>
      </w:pPr>
      <w:bookmarkStart w:id="32" w:name="refs"/>
      <w:r>
        <w:lastRenderedPageBreak/>
        <w:t>References</w:t>
      </w:r>
      <w:bookmarkEnd w:id="32"/>
    </w:p>
    <w:p w14:paraId="5CE41C68" w14:textId="77777777" w:rsidR="00AD43F1" w:rsidRDefault="00000000">
      <w:pPr>
        <w:spacing w:after="180" w:line="360" w:lineRule="auto"/>
      </w:pPr>
      <w:r>
        <w:rPr>
          <w:i/>
          <w:iCs/>
          <w:color w:val="666666"/>
          <w:sz w:val="20"/>
          <w:szCs w:val="20"/>
        </w:rPr>
        <w:t>APA7 Author-Date style, as required by the module. Every source below is real and can be checked at its web address.</w:t>
      </w:r>
    </w:p>
    <w:p w14:paraId="36229F71" w14:textId="77777777" w:rsidR="00AD43F1" w:rsidRDefault="00000000">
      <w:pPr>
        <w:spacing w:after="200" w:line="360" w:lineRule="auto"/>
        <w:ind w:left="720" w:hanging="720"/>
      </w:pPr>
      <w:r>
        <w:rPr>
          <w:sz w:val="22"/>
          <w:szCs w:val="22"/>
        </w:rPr>
        <w:t xml:space="preserve">Chang, E., Darcy, P., Choo, K.-K. R., &amp; Le-Khac, N.-A. (2022). </w:t>
      </w:r>
      <w:r>
        <w:rPr>
          <w:i/>
          <w:iCs/>
          <w:sz w:val="22"/>
          <w:szCs w:val="22"/>
        </w:rPr>
        <w:t>Forensic artefact discovery and attribution from Android cryptocurrency wallet applications.</w:t>
      </w:r>
      <w:r>
        <w:rPr>
          <w:sz w:val="22"/>
          <w:szCs w:val="22"/>
        </w:rPr>
        <w:t xml:space="preserve"> </w:t>
      </w:r>
      <w:proofErr w:type="spellStart"/>
      <w:r>
        <w:rPr>
          <w:sz w:val="22"/>
          <w:szCs w:val="22"/>
        </w:rPr>
        <w:t>arXiv</w:t>
      </w:r>
      <w:proofErr w:type="spellEnd"/>
      <w:r>
        <w:rPr>
          <w:sz w:val="22"/>
          <w:szCs w:val="22"/>
        </w:rPr>
        <w:t>. https://arxiv.org/abs/2205.14611</w:t>
      </w:r>
    </w:p>
    <w:p w14:paraId="694B8DD6" w14:textId="77777777" w:rsidR="00AD43F1" w:rsidRDefault="00000000">
      <w:pPr>
        <w:spacing w:after="200" w:line="360" w:lineRule="auto"/>
        <w:ind w:left="720" w:hanging="720"/>
      </w:pPr>
      <w:proofErr w:type="spellStart"/>
      <w:r>
        <w:rPr>
          <w:sz w:val="22"/>
          <w:szCs w:val="22"/>
        </w:rPr>
        <w:t>Groß</w:t>
      </w:r>
      <w:proofErr w:type="spellEnd"/>
      <w:r>
        <w:rPr>
          <w:sz w:val="22"/>
          <w:szCs w:val="22"/>
        </w:rPr>
        <w:t xml:space="preserve">, T., Busch, M., &amp; Müller, T. (2021). One key to rule them all: Recovering the master key from RAM to break Android's file-based encryption. In </w:t>
      </w:r>
      <w:r>
        <w:rPr>
          <w:i/>
          <w:iCs/>
          <w:sz w:val="22"/>
          <w:szCs w:val="22"/>
        </w:rPr>
        <w:t>Proceedings of the Digital Forensics Research Conference Europe (DFRWS EU 2021).</w:t>
      </w:r>
      <w:r>
        <w:rPr>
          <w:sz w:val="22"/>
          <w:szCs w:val="22"/>
        </w:rPr>
        <w:t xml:space="preserve"> https://dfrws.org/wp-content/uploads/2021/08/2021_EU_paper-one_key_to_rule_them_all_recovering_the_master_key_from_ram_to_break_androids_file-based_encryption_.pdf</w:t>
      </w:r>
    </w:p>
    <w:p w14:paraId="128D3824" w14:textId="77777777" w:rsidR="00AD43F1" w:rsidRDefault="00000000">
      <w:pPr>
        <w:spacing w:after="200" w:line="360" w:lineRule="auto"/>
        <w:ind w:left="720" w:hanging="720"/>
      </w:pPr>
      <w:proofErr w:type="spellStart"/>
      <w:r>
        <w:rPr>
          <w:sz w:val="22"/>
          <w:szCs w:val="22"/>
        </w:rPr>
        <w:t>Möser</w:t>
      </w:r>
      <w:proofErr w:type="spellEnd"/>
      <w:r>
        <w:rPr>
          <w:sz w:val="22"/>
          <w:szCs w:val="22"/>
        </w:rPr>
        <w:t xml:space="preserve">, M., &amp; Narayanan, A. (2021). </w:t>
      </w:r>
      <w:r>
        <w:rPr>
          <w:i/>
          <w:iCs/>
          <w:sz w:val="22"/>
          <w:szCs w:val="22"/>
        </w:rPr>
        <w:t>Resurrecting address clustering in Bitcoin.</w:t>
      </w:r>
      <w:r>
        <w:rPr>
          <w:sz w:val="22"/>
          <w:szCs w:val="22"/>
        </w:rPr>
        <w:t xml:space="preserve"> </w:t>
      </w:r>
      <w:proofErr w:type="spellStart"/>
      <w:r>
        <w:rPr>
          <w:sz w:val="22"/>
          <w:szCs w:val="22"/>
        </w:rPr>
        <w:t>arXiv</w:t>
      </w:r>
      <w:proofErr w:type="spellEnd"/>
      <w:r>
        <w:rPr>
          <w:sz w:val="22"/>
          <w:szCs w:val="22"/>
        </w:rPr>
        <w:t>. https://arxiv.org/pdf/2107.05749</w:t>
      </w:r>
    </w:p>
    <w:p w14:paraId="4EAF780C" w14:textId="77777777" w:rsidR="00AD43F1" w:rsidRDefault="00000000">
      <w:pPr>
        <w:spacing w:after="200" w:line="360" w:lineRule="auto"/>
        <w:ind w:left="720" w:hanging="720"/>
      </w:pPr>
      <w:r>
        <w:rPr>
          <w:sz w:val="22"/>
          <w:szCs w:val="22"/>
        </w:rPr>
        <w:t xml:space="preserve">National Institute of Standards and Technology. (2014). </w:t>
      </w:r>
      <w:r>
        <w:rPr>
          <w:i/>
          <w:iCs/>
          <w:sz w:val="22"/>
          <w:szCs w:val="22"/>
        </w:rPr>
        <w:t>Guidelines on mobile device forensics</w:t>
      </w:r>
      <w:r>
        <w:rPr>
          <w:sz w:val="22"/>
          <w:szCs w:val="22"/>
        </w:rPr>
        <w:t xml:space="preserve"> (NIST Special Publication 800-101, Revision 1). https://csrc.nist.gov/pubs/sp/800/101/r1/final</w:t>
      </w:r>
    </w:p>
    <w:p w14:paraId="3C9D3C53" w14:textId="77777777" w:rsidR="00AD43F1" w:rsidRDefault="00000000">
      <w:pPr>
        <w:spacing w:after="200" w:line="360" w:lineRule="auto"/>
        <w:ind w:left="720" w:hanging="720"/>
      </w:pPr>
      <w:r>
        <w:rPr>
          <w:sz w:val="22"/>
          <w:szCs w:val="22"/>
        </w:rPr>
        <w:t xml:space="preserve">Palatinus, M., Rusnak, P., Voisine, A., &amp; Bowe, S. (2013). </w:t>
      </w:r>
      <w:r>
        <w:rPr>
          <w:i/>
          <w:iCs/>
          <w:sz w:val="22"/>
          <w:szCs w:val="22"/>
        </w:rPr>
        <w:t>BIP 39: Mnemonic code for generating deterministic keys.</w:t>
      </w:r>
      <w:r>
        <w:rPr>
          <w:sz w:val="22"/>
          <w:szCs w:val="22"/>
        </w:rPr>
        <w:t xml:space="preserve"> Bitcoin Improvement Proposals. https://github.com/bitcoin/bips/blob/master/bip-0039.mediawiki</w:t>
      </w:r>
    </w:p>
    <w:p w14:paraId="77201F6E" w14:textId="77777777" w:rsidR="00AD43F1" w:rsidRDefault="00000000">
      <w:pPr>
        <w:pStyle w:val="Heading1"/>
      </w:pPr>
      <w:bookmarkStart w:id="33" w:name="appA"/>
      <w:r>
        <w:lastRenderedPageBreak/>
        <w:t>Appendix A: Ethical Approval Letter</w:t>
      </w:r>
      <w:bookmarkEnd w:id="33"/>
    </w:p>
    <w:p w14:paraId="2662B2A7" w14:textId="77777777" w:rsidR="00AD43F1" w:rsidRDefault="00000000">
      <w:pPr>
        <w:spacing w:after="180" w:line="360" w:lineRule="auto"/>
      </w:pPr>
      <w:r>
        <w:t>The CURES approval letter will be inserted here once the full-data-collection stage of approval is confirmed.</w:t>
      </w:r>
    </w:p>
    <w:p w14:paraId="336C7587" w14:textId="77777777" w:rsidR="00AD43F1" w:rsidRDefault="00000000">
      <w:pPr>
        <w:pStyle w:val="Heading1"/>
      </w:pPr>
      <w:bookmarkStart w:id="34" w:name="appB"/>
      <w:r>
        <w:lastRenderedPageBreak/>
        <w:t>Appendix B: Chain of Custody and Experiment Log Templates</w:t>
      </w:r>
      <w:bookmarkEnd w:id="34"/>
    </w:p>
    <w:p w14:paraId="62E5931C" w14:textId="77777777" w:rsidR="00AD43F1" w:rsidRDefault="00000000">
      <w:pPr>
        <w:spacing w:after="180" w:line="360" w:lineRule="auto"/>
      </w:pPr>
      <w:r>
        <w:t>Not yet written.</w:t>
      </w:r>
    </w:p>
    <w:sectPr w:rsidR="00AD43F1">
      <w:headerReference w:type="default" r:id="rId7"/>
      <w:footerReference w:type="default" r:id="rId8"/>
      <w:pgSz w:w="12240" w:h="15840"/>
      <w:pgMar w:top="1728" w:right="1728" w:bottom="1728" w:left="172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1CBDAE6" w14:textId="77777777" w:rsidR="003D4F20" w:rsidRDefault="003D4F20">
      <w:r>
        <w:separator/>
      </w:r>
    </w:p>
  </w:endnote>
  <w:endnote w:type="continuationSeparator" w:id="0">
    <w:p w14:paraId="1D3EEECD" w14:textId="77777777" w:rsidR="003D4F20" w:rsidRDefault="003D4F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1F4C892" w14:textId="77777777" w:rsidR="00AD43F1" w:rsidRDefault="00000000">
    <w:pPr>
      <w:jc w:val="center"/>
    </w:pP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293138">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BECA327" w14:textId="77777777" w:rsidR="003D4F20" w:rsidRDefault="003D4F20">
      <w:r>
        <w:separator/>
      </w:r>
    </w:p>
  </w:footnote>
  <w:footnote w:type="continuationSeparator" w:id="0">
    <w:p w14:paraId="17638C83" w14:textId="77777777" w:rsidR="003D4F20" w:rsidRDefault="003D4F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BD76D4E" w14:textId="77777777" w:rsidR="00AD43F1" w:rsidRDefault="00000000">
    <w:pPr>
      <w:jc w:val="right"/>
    </w:pPr>
    <w:r>
      <w:rPr>
        <w:color w:val="888888"/>
        <w:sz w:val="16"/>
        <w:szCs w:val="16"/>
      </w:rPr>
      <w:t>Prince Sharma — MSc Digital Forensics Thesis (draft)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56A013C"/>
    <w:multiLevelType w:val="hybridMultilevel"/>
    <w:tmpl w:val="90A829BE"/>
    <w:lvl w:ilvl="0" w:tplc="BECAD544">
      <w:start w:val="1"/>
      <w:numFmt w:val="bullet"/>
      <w:lvlText w:val="●"/>
      <w:lvlJc w:val="left"/>
      <w:pPr>
        <w:ind w:left="720" w:hanging="360"/>
      </w:pPr>
    </w:lvl>
    <w:lvl w:ilvl="1" w:tplc="234EAF22">
      <w:start w:val="1"/>
      <w:numFmt w:val="bullet"/>
      <w:lvlText w:val="○"/>
      <w:lvlJc w:val="left"/>
      <w:pPr>
        <w:ind w:left="1440" w:hanging="360"/>
      </w:pPr>
    </w:lvl>
    <w:lvl w:ilvl="2" w:tplc="400217B4">
      <w:start w:val="1"/>
      <w:numFmt w:val="bullet"/>
      <w:lvlText w:val="■"/>
      <w:lvlJc w:val="left"/>
      <w:pPr>
        <w:ind w:left="2160" w:hanging="360"/>
      </w:pPr>
    </w:lvl>
    <w:lvl w:ilvl="3" w:tplc="B912722C">
      <w:start w:val="1"/>
      <w:numFmt w:val="bullet"/>
      <w:lvlText w:val="●"/>
      <w:lvlJc w:val="left"/>
      <w:pPr>
        <w:ind w:left="2880" w:hanging="360"/>
      </w:pPr>
    </w:lvl>
    <w:lvl w:ilvl="4" w:tplc="6DF49034">
      <w:start w:val="1"/>
      <w:numFmt w:val="bullet"/>
      <w:lvlText w:val="○"/>
      <w:lvlJc w:val="left"/>
      <w:pPr>
        <w:ind w:left="3600" w:hanging="360"/>
      </w:pPr>
    </w:lvl>
    <w:lvl w:ilvl="5" w:tplc="96CC8E98">
      <w:start w:val="1"/>
      <w:numFmt w:val="bullet"/>
      <w:lvlText w:val="■"/>
      <w:lvlJc w:val="left"/>
      <w:pPr>
        <w:ind w:left="4320" w:hanging="360"/>
      </w:pPr>
    </w:lvl>
    <w:lvl w:ilvl="6" w:tplc="E70A0AD4">
      <w:start w:val="1"/>
      <w:numFmt w:val="bullet"/>
      <w:lvlText w:val="●"/>
      <w:lvlJc w:val="left"/>
      <w:pPr>
        <w:ind w:left="5040" w:hanging="360"/>
      </w:pPr>
    </w:lvl>
    <w:lvl w:ilvl="7" w:tplc="A3AA42E0">
      <w:start w:val="1"/>
      <w:numFmt w:val="bullet"/>
      <w:lvlText w:val="●"/>
      <w:lvlJc w:val="left"/>
      <w:pPr>
        <w:ind w:left="5760" w:hanging="360"/>
      </w:pPr>
    </w:lvl>
    <w:lvl w:ilvl="8" w:tplc="E0D6F548">
      <w:start w:val="1"/>
      <w:numFmt w:val="bullet"/>
      <w:lvlText w:val="●"/>
      <w:lvlJc w:val="left"/>
      <w:pPr>
        <w:ind w:left="6480" w:hanging="360"/>
      </w:pPr>
    </w:lvl>
  </w:abstractNum>
  <w:abstractNum w:abstractNumId="1" w15:restartNumberingAfterBreak="0">
    <w:nsid w:val="4C3958C1"/>
    <w:multiLevelType w:val="hybridMultilevel"/>
    <w:tmpl w:val="6EB47DC0"/>
    <w:lvl w:ilvl="0" w:tplc="8DF4426A">
      <w:start w:val="1"/>
      <w:numFmt w:val="bullet"/>
      <w:lvlText w:val="•"/>
      <w:lvlJc w:val="left"/>
      <w:pPr>
        <w:ind w:left="560" w:hanging="280"/>
      </w:pPr>
    </w:lvl>
    <w:lvl w:ilvl="1" w:tplc="615EBEBA">
      <w:numFmt w:val="decimal"/>
      <w:lvlText w:val=""/>
      <w:lvlJc w:val="left"/>
    </w:lvl>
    <w:lvl w:ilvl="2" w:tplc="5734EF46">
      <w:numFmt w:val="decimal"/>
      <w:lvlText w:val=""/>
      <w:lvlJc w:val="left"/>
    </w:lvl>
    <w:lvl w:ilvl="3" w:tplc="FBE66B88">
      <w:numFmt w:val="decimal"/>
      <w:lvlText w:val=""/>
      <w:lvlJc w:val="left"/>
    </w:lvl>
    <w:lvl w:ilvl="4" w:tplc="E19C9CC2">
      <w:numFmt w:val="decimal"/>
      <w:lvlText w:val=""/>
      <w:lvlJc w:val="left"/>
    </w:lvl>
    <w:lvl w:ilvl="5" w:tplc="6B946E06">
      <w:numFmt w:val="decimal"/>
      <w:lvlText w:val=""/>
      <w:lvlJc w:val="left"/>
    </w:lvl>
    <w:lvl w:ilvl="6" w:tplc="7494B814">
      <w:numFmt w:val="decimal"/>
      <w:lvlText w:val=""/>
      <w:lvlJc w:val="left"/>
    </w:lvl>
    <w:lvl w:ilvl="7" w:tplc="4B24FF14">
      <w:numFmt w:val="decimal"/>
      <w:lvlText w:val=""/>
      <w:lvlJc w:val="left"/>
    </w:lvl>
    <w:lvl w:ilvl="8" w:tplc="655A98C2">
      <w:numFmt w:val="decimal"/>
      <w:lvlText w:val=""/>
      <w:lvlJc w:val="left"/>
    </w:lvl>
  </w:abstractNum>
  <w:num w:numId="1" w16cid:durableId="1799178226">
    <w:abstractNumId w:val="0"/>
    <w:lvlOverride w:ilvl="0">
      <w:startOverride w:val="1"/>
    </w:lvlOverride>
  </w:num>
  <w:num w:numId="2" w16cid:durableId="1702122787">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6"/>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43F1"/>
    <w:rsid w:val="000920AB"/>
    <w:rsid w:val="00293138"/>
    <w:rsid w:val="003D4F20"/>
    <w:rsid w:val="004B1627"/>
    <w:rsid w:val="008F21E8"/>
    <w:rsid w:val="00AD43F1"/>
    <w:rsid w:val="00E165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B37D8AD"/>
  <w15:docId w15:val="{27BCEB37-742C-7C4B-A732-282F271EC1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ageBreakBefore/>
      <w:spacing w:before="400" w:after="220"/>
      <w:outlineLvl w:val="0"/>
    </w:pPr>
    <w:rPr>
      <w:b/>
      <w:bCs/>
      <w:color w:val="1F3864"/>
      <w:sz w:val="32"/>
      <w:szCs w:val="32"/>
    </w:rPr>
  </w:style>
  <w:style w:type="paragraph" w:styleId="Heading2">
    <w:name w:val="heading 2"/>
    <w:uiPriority w:val="9"/>
    <w:unhideWhenUsed/>
    <w:qFormat/>
    <w:pPr>
      <w:spacing w:before="260" w:after="140"/>
      <w:outlineLvl w:val="1"/>
    </w:pPr>
    <w:rPr>
      <w:b/>
      <w:bCs/>
      <w:color w:val="2E539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24</Pages>
  <Words>3594</Words>
  <Characters>20491</Characters>
  <Application>Microsoft Office Word</Application>
  <DocSecurity>0</DocSecurity>
  <Lines>170</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[Student] Prince Sharma</cp:lastModifiedBy>
  <cp:revision>1</cp:revision>
  <dcterms:created xsi:type="dcterms:W3CDTF">2026-08-19T13:52:00Z</dcterms:created>
  <dcterms:modified xsi:type="dcterms:W3CDTF">2026-08-25T15:15:00Z</dcterms:modified>
</cp:coreProperties>
</file>