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9C6B1F"/>
          <w:sz w:val="60"/>
          <w:szCs w:val="60"/>
        </w:rPr>
        <w:t xml:space="preserve">GRIDS GOLD</w:t>
      </w:r>
    </w:p>
    <w:p>
      <w:pPr>
        <w:spacing w:after="400"/>
        <w:jc w:val="center"/>
      </w:pPr>
      <w:r>
        <w:rPr>
          <w:b/>
          <w:bCs/>
          <w:color w:val="1F3864"/>
          <w:sz w:val="34"/>
          <w:szCs w:val="34"/>
        </w:rPr>
        <w:t xml:space="preserve">Jewelry Retail Core — Implementation Plan</w:t>
      </w:r>
    </w:p>
    <w:p>
      <w:pPr>
        <w:spacing w:after="100"/>
        <w:jc w:val="center"/>
      </w:pPr>
      <w:r>
        <w:rPr>
          <w:i/>
          <w:iCs/>
          <w:color w:val="666666"/>
          <w:sz w:val="24"/>
          <w:szCs w:val="24"/>
        </w:rPr>
        <w:t xml:space="preserve">Phase 1 customization of the Quantro multi-tenant SaaS platform</w:t>
      </w:r>
    </w:p>
    <w:p>
      <w:pPr>
        <w:spacing w:after="1000"/>
        <w:jc w:val="center"/>
      </w:pPr>
      <w:r>
        <w:rPr>
          <w:color w:val="666666"/>
          <w:sz w:val="22"/>
          <w:szCs w:val="22"/>
        </w:rPr>
        <w:t xml:space="preserve">For a 4-person delivery team, AI-assisted development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rPr>
          <w:tblHeader/>
        </w:trPr>
        <w:tc>
          <w:tcPr>
            <w:tcW w:type="dxa" w:w="3200"/>
            <w:shd w:fill="1F3864" w:val="clear"/>
            <w:tcMar>
              <w:top w:type="dxa" w:w="60"/>
              <w:left w:type="dxa" w:w="100"/>
              <w:bottom w:type="dxa" w:w="60"/>
              <w:right w:type="dxa" w:w="100"/>
            </w:tcMar>
          </w:tcPr>
          <w:p>
            <w:pPr>
              <w:jc w:val="left"/>
            </w:pPr>
            <w:r>
              <w:rPr>
                <w:b/>
                <w:bCs/>
                <w:color w:val="FFFFFF"/>
                <w:sz w:val="20"/>
                <w:szCs w:val="20"/>
              </w:rPr>
              <w:t xml:space="preserve">Field</w:t>
            </w:r>
          </w:p>
        </w:tc>
        <w:tc>
          <w:tcPr>
            <w:tcW w:type="dxa" w:w="6440"/>
            <w:shd w:fill="1F3864" w:val="clear"/>
            <w:tcMar>
              <w:top w:type="dxa" w:w="60"/>
              <w:left w:type="dxa" w:w="100"/>
              <w:bottom w:type="dxa" w:w="60"/>
              <w:right w:type="dxa" w:w="100"/>
            </w:tcMar>
          </w:tcPr>
          <w:p>
            <w:pPr>
              <w:jc w:val="left"/>
            </w:pPr>
            <w:r>
              <w:rPr>
                <w:b/>
                <w:bCs/>
                <w:color w:val="FFFFFF"/>
                <w:sz w:val="20"/>
                <w:szCs w:val="20"/>
              </w:rPr>
              <w:t xml:space="preserve">Value</w:t>
            </w:r>
          </w:p>
        </w:tc>
      </w:tr>
      <w:tr>
        <w:tc>
          <w:tcPr>
            <w:tcW w:type="dxa" w:w="3200"/>
            <w:tcMar>
              <w:top w:type="dxa" w:w="60"/>
              <w:left w:type="dxa" w:w="100"/>
              <w:bottom w:type="dxa" w:w="60"/>
              <w:right w:type="dxa" w:w="100"/>
            </w:tcMar>
          </w:tcPr>
          <w:p>
            <w:pPr>
              <w:jc w:val="left"/>
            </w:pPr>
            <w:r>
              <w:rPr>
                <w:b w:val="false"/>
                <w:bCs w:val="false"/>
                <w:color w:val="000000"/>
                <w:sz w:val="20"/>
                <w:szCs w:val="20"/>
              </w:rPr>
              <w:t xml:space="preserve">Document version</w:t>
            </w:r>
          </w:p>
        </w:tc>
        <w:tc>
          <w:tcPr>
            <w:tcW w:type="dxa" w:w="6440"/>
            <w:tcMar>
              <w:top w:type="dxa" w:w="60"/>
              <w:left w:type="dxa" w:w="100"/>
              <w:bottom w:type="dxa" w:w="60"/>
              <w:right w:type="dxa" w:w="100"/>
            </w:tcMar>
          </w:tcPr>
          <w:p>
            <w:pPr>
              <w:jc w:val="left"/>
            </w:pPr>
            <w:r>
              <w:rPr>
                <w:b w:val="false"/>
                <w:bCs w:val="false"/>
                <w:color w:val="000000"/>
                <w:sz w:val="20"/>
                <w:szCs w:val="20"/>
              </w:rPr>
              <w:t xml:space="preserve">1.0</w:t>
            </w:r>
          </w:p>
        </w:tc>
      </w:tr>
      <w:tr>
        <w:tc>
          <w:tcPr>
            <w:tcW w:type="dxa" w:w="3200"/>
            <w:shd w:fill="F5F5F5" w:val="clear"/>
            <w:tcMar>
              <w:top w:type="dxa" w:w="60"/>
              <w:left w:type="dxa" w:w="100"/>
              <w:bottom w:type="dxa" w:w="60"/>
              <w:right w:type="dxa" w:w="100"/>
            </w:tcMar>
          </w:tcPr>
          <w:p>
            <w:pPr>
              <w:jc w:val="left"/>
            </w:pPr>
            <w:r>
              <w:rPr>
                <w:b w:val="false"/>
                <w:bCs w:val="false"/>
                <w:color w:val="000000"/>
                <w:sz w:val="20"/>
                <w:szCs w:val="20"/>
              </w:rPr>
              <w:t xml:space="preserve">Prepared for</w:t>
            </w:r>
          </w:p>
        </w:tc>
        <w:tc>
          <w:tcPr>
            <w:tcW w:type="dxa" w:w="6440"/>
            <w:shd w:fill="F5F5F5" w:val="clear"/>
            <w:tcMar>
              <w:top w:type="dxa" w:w="60"/>
              <w:left w:type="dxa" w:w="100"/>
              <w:bottom w:type="dxa" w:w="60"/>
              <w:right w:type="dxa" w:w="100"/>
            </w:tcMar>
          </w:tcPr>
          <w:p>
            <w:pPr>
              <w:jc w:val="left"/>
            </w:pPr>
            <w:r>
              <w:rPr>
                <w:b w:val="false"/>
                <w:bCs w:val="false"/>
                <w:color w:val="000000"/>
                <w:sz w:val="20"/>
                <w:szCs w:val="20"/>
              </w:rPr>
              <w:t xml:space="preserve">Fbn / Grids Gold project</w:t>
            </w:r>
          </w:p>
        </w:tc>
      </w:tr>
      <w:tr>
        <w:tc>
          <w:tcPr>
            <w:tcW w:type="dxa" w:w="3200"/>
            <w:tcMar>
              <w:top w:type="dxa" w:w="60"/>
              <w:left w:type="dxa" w:w="100"/>
              <w:bottom w:type="dxa" w:w="60"/>
              <w:right w:type="dxa" w:w="100"/>
            </w:tcMar>
          </w:tcPr>
          <w:p>
            <w:pPr>
              <w:jc w:val="left"/>
            </w:pPr>
            <w:r>
              <w:rPr>
                <w:b w:val="false"/>
                <w:bCs w:val="false"/>
                <w:color w:val="000000"/>
                <w:sz w:val="20"/>
                <w:szCs w:val="20"/>
              </w:rPr>
              <w:t xml:space="preserve">Base platform</w:t>
            </w:r>
          </w:p>
        </w:tc>
        <w:tc>
          <w:tcPr>
            <w:tcW w:type="dxa" w:w="6440"/>
            <w:tcMar>
              <w:top w:type="dxa" w:w="60"/>
              <w:left w:type="dxa" w:w="100"/>
              <w:bottom w:type="dxa" w:w="60"/>
              <w:right w:type="dxa" w:w="100"/>
            </w:tcMar>
          </w:tcPr>
          <w:p>
            <w:pPr>
              <w:jc w:val="left"/>
            </w:pPr>
            <w:r>
              <w:rPr>
                <w:b w:val="false"/>
                <w:bCs w:val="false"/>
                <w:color w:val="000000"/>
                <w:sz w:val="20"/>
                <w:szCs w:val="20"/>
              </w:rPr>
              <w:t xml:space="preserve">Quantro (Laravel 12, Blade + Vue 2, DB-per-tenant)</w:t>
            </w:r>
          </w:p>
        </w:tc>
      </w:tr>
      <w:tr>
        <w:tc>
          <w:tcPr>
            <w:tcW w:type="dxa" w:w="3200"/>
            <w:shd w:fill="F5F5F5" w:val="clear"/>
            <w:tcMar>
              <w:top w:type="dxa" w:w="60"/>
              <w:left w:type="dxa" w:w="100"/>
              <w:bottom w:type="dxa" w:w="60"/>
              <w:right w:type="dxa" w:w="100"/>
            </w:tcMar>
          </w:tcPr>
          <w:p>
            <w:pPr>
              <w:jc w:val="left"/>
            </w:pPr>
            <w:r>
              <w:rPr>
                <w:b w:val="false"/>
                <w:bCs w:val="false"/>
                <w:color w:val="000000"/>
                <w:sz w:val="20"/>
                <w:szCs w:val="20"/>
              </w:rPr>
              <w:t xml:space="preserve">Reference documents</w:t>
            </w:r>
          </w:p>
        </w:tc>
        <w:tc>
          <w:tcPr>
            <w:tcW w:type="dxa" w:w="6440"/>
            <w:shd w:fill="F5F5F5" w:val="clear"/>
            <w:tcMar>
              <w:top w:type="dxa" w:w="60"/>
              <w:left w:type="dxa" w:w="100"/>
              <w:bottom w:type="dxa" w:w="60"/>
              <w:right w:type="dxa" w:w="100"/>
            </w:tcMar>
          </w:tcPr>
          <w:p>
            <w:pPr>
              <w:jc w:val="left"/>
            </w:pPr>
            <w:r>
              <w:rPr>
                <w:b w:val="false"/>
                <w:bCs w:val="false"/>
                <w:color w:val="000000"/>
                <w:sz w:val="20"/>
                <w:szCs w:val="20"/>
              </w:rPr>
              <w:t xml:space="preserve">Grids Gold Customization.pdf, Grids Gold SRS.docx</w:t>
            </w:r>
          </w:p>
        </w:tc>
      </w:tr>
      <w:tr>
        <w:tc>
          <w:tcPr>
            <w:tcW w:type="dxa" w:w="3200"/>
            <w:tcMar>
              <w:top w:type="dxa" w:w="60"/>
              <w:left w:type="dxa" w:w="100"/>
              <w:bottom w:type="dxa" w:w="60"/>
              <w:right w:type="dxa" w:w="100"/>
            </w:tcMar>
          </w:tcPr>
          <w:p>
            <w:pPr>
              <w:jc w:val="left"/>
            </w:pPr>
            <w:r>
              <w:rPr>
                <w:b w:val="false"/>
                <w:bCs w:val="false"/>
                <w:color w:val="000000"/>
                <w:sz w:val="20"/>
                <w:szCs w:val="20"/>
              </w:rPr>
              <w:t xml:space="preserve">Frontend approach</w:t>
            </w:r>
          </w:p>
        </w:tc>
        <w:tc>
          <w:tcPr>
            <w:tcW w:type="dxa" w:w="6440"/>
            <w:tcMar>
              <w:top w:type="dxa" w:w="60"/>
              <w:left w:type="dxa" w:w="100"/>
              <w:bottom w:type="dxa" w:w="60"/>
              <w:right w:type="dxa" w:w="100"/>
            </w:tcMar>
          </w:tcPr>
          <w:p>
            <w:pPr>
              <w:jc w:val="left"/>
            </w:pPr>
            <w:r>
              <w:rPr>
                <w:b w:val="false"/>
                <w:bCs w:val="false"/>
                <w:color w:val="000000"/>
                <w:sz w:val="20"/>
                <w:szCs w:val="20"/>
              </w:rPr>
              <w:t xml:space="preserve">Extend the existing Blade + Vue 2 admin (confirmed — no Next.js rewrite)</w:t>
            </w:r>
          </w:p>
        </w:tc>
      </w:tr>
      <w:tr>
        <w:tc>
          <w:tcPr>
            <w:tcW w:type="dxa" w:w="3200"/>
            <w:shd w:fill="F5F5F5" w:val="clear"/>
            <w:tcMar>
              <w:top w:type="dxa" w:w="60"/>
              <w:left w:type="dxa" w:w="100"/>
              <w:bottom w:type="dxa" w:w="60"/>
              <w:right w:type="dxa" w:w="100"/>
            </w:tcMar>
          </w:tcPr>
          <w:p>
            <w:pPr>
              <w:jc w:val="left"/>
            </w:pPr>
            <w:r>
              <w:rPr>
                <w:b w:val="false"/>
                <w:bCs w:val="false"/>
                <w:color w:val="000000"/>
                <w:sz w:val="20"/>
                <w:szCs w:val="20"/>
              </w:rPr>
              <w:t xml:space="preserve">Tenant scope</w:t>
            </w:r>
          </w:p>
        </w:tc>
        <w:tc>
          <w:tcPr>
            <w:tcW w:type="dxa" w:w="6440"/>
            <w:shd w:fill="F5F5F5" w:val="clear"/>
            <w:tcMar>
              <w:top w:type="dxa" w:w="60"/>
              <w:left w:type="dxa" w:w="100"/>
              <w:bottom w:type="dxa" w:w="60"/>
              <w:right w:type="dxa" w:w="100"/>
            </w:tcMar>
          </w:tcPr>
          <w:p>
            <w:pPr>
              <w:jc w:val="left"/>
            </w:pPr>
            <w:r>
              <w:rPr>
                <w:b w:val="false"/>
                <w:bCs w:val="false"/>
                <w:color w:val="000000"/>
                <w:sz w:val="20"/>
                <w:szCs w:val="20"/>
              </w:rPr>
              <w:t xml:space="preserve">Per-tenant “jewelry_mode” toggle (existing tenants unaffected)</w:t>
            </w:r>
          </w:p>
        </w:tc>
      </w:tr>
      <w:tr>
        <w:tc>
          <w:tcPr>
            <w:tcW w:type="dxa" w:w="3200"/>
            <w:tcMar>
              <w:top w:type="dxa" w:w="60"/>
              <w:left w:type="dxa" w:w="100"/>
              <w:bottom w:type="dxa" w:w="60"/>
              <w:right w:type="dxa" w:w="100"/>
            </w:tcMar>
          </w:tcPr>
          <w:p>
            <w:pPr>
              <w:jc w:val="left"/>
            </w:pPr>
            <w:r>
              <w:rPr>
                <w:b w:val="false"/>
                <w:bCs w:val="false"/>
                <w:color w:val="000000"/>
                <w:sz w:val="20"/>
                <w:szCs w:val="20"/>
              </w:rPr>
              <w:t xml:space="preserve">Team</w:t>
            </w:r>
          </w:p>
        </w:tc>
        <w:tc>
          <w:tcPr>
            <w:tcW w:type="dxa" w:w="6440"/>
            <w:tcMar>
              <w:top w:type="dxa" w:w="60"/>
              <w:left w:type="dxa" w:w="100"/>
              <w:bottom w:type="dxa" w:w="60"/>
              <w:right w:type="dxa" w:w="100"/>
            </w:tcMar>
          </w:tcPr>
          <w:p>
            <w:pPr>
              <w:jc w:val="left"/>
            </w:pPr>
            <w:r>
              <w:rPr>
                <w:b w:val="false"/>
                <w:bCs w:val="false"/>
                <w:color w:val="000000"/>
                <w:sz w:val="20"/>
                <w:szCs w:val="20"/>
              </w:rPr>
              <w:t xml:space="preserve">4 people, directing AI coding agents (e.g. Claude Code, Codex, Antigravity) per workstream</w:t>
            </w:r>
          </w:p>
        </w:tc>
      </w:tr>
      <w:tr>
        <w:tc>
          <w:tcPr>
            <w:tcW w:type="dxa" w:w="3200"/>
            <w:shd w:fill="F5F5F5" w:val="clear"/>
            <w:tcMar>
              <w:top w:type="dxa" w:w="60"/>
              <w:left w:type="dxa" w:w="100"/>
              <w:bottom w:type="dxa" w:w="60"/>
              <w:right w:type="dxa" w:w="100"/>
            </w:tcMar>
          </w:tcPr>
          <w:p>
            <w:pPr>
              <w:jc w:val="left"/>
            </w:pPr>
            <w:r>
              <w:rPr>
                <w:b w:val="false"/>
                <w:bCs w:val="false"/>
                <w:color w:val="000000"/>
                <w:sz w:val="20"/>
                <w:szCs w:val="20"/>
              </w:rPr>
              <w:t xml:space="preserve">Target duration</w:t>
            </w:r>
          </w:p>
        </w:tc>
        <w:tc>
          <w:tcPr>
            <w:tcW w:type="dxa" w:w="6440"/>
            <w:shd w:fill="F5F5F5" w:val="clear"/>
            <w:tcMar>
              <w:top w:type="dxa" w:w="60"/>
              <w:left w:type="dxa" w:w="100"/>
              <w:bottom w:type="dxa" w:w="60"/>
              <w:right w:type="dxa" w:w="100"/>
            </w:tcMar>
          </w:tcPr>
          <w:p>
            <w:pPr>
              <w:jc w:val="left"/>
            </w:pPr>
            <w:r>
              <w:rPr>
                <w:b w:val="false"/>
                <w:bCs w:val="false"/>
                <w:color w:val="000000"/>
                <w:sz w:val="20"/>
                <w:szCs w:val="20"/>
              </w:rPr>
              <w:t xml:space="preserve">~9 weeks (4 two-week sprints + 1 hardening/UAT week)</w:t>
            </w:r>
          </w:p>
        </w:tc>
      </w:tr>
    </w:tbl>
    <w:p>
      <w:r>
        <w:br w:type="page"/>
      </w:r>
    </w:p>
    <w:p>
      <w:pPr>
        <w:pStyle w:val="Heading1"/>
        <w:spacing w:after="160" w:before="360"/>
      </w:pPr>
      <w:r>
        <w:t xml:space="preserve">1. Purpose and How to Use This Document</w:t>
      </w:r>
    </w:p>
    <w:p>
      <w:pPr>
        <w:spacing w:after="120"/>
      </w:pPr>
      <w:r>
        <w:t xml:space="preserve">Quantro is an existing, live, multi-tenant SaaS business platform (Laravel 12 backend, Blade + Vue 2 frontend, one physical database per tenant). It already serves multiple unrelated clients side by side — retail, pharmacy, and other verticals — and none of them may be disrupted by this work.</w:t>
      </w:r>
    </w:p>
    <w:p>
      <w:pPr>
        <w:spacing w:after="120"/>
      </w:pPr>
      <w:r>
        <w:t xml:space="preserve">Grids Gold is a jewelry and gold retail business that wants Quantro customized into a jewelry-aware system: items with karat, weight and stones, a daily gold rate board, a pricing engine that turns weight + rate + making charge + stones into a selling price, weight-aware inventory, and a POS/invoice flow that shows and freezes that pricing at the moment of sale.</w:t>
      </w:r>
    </w:p>
    <w:p>
      <w:pPr>
        <w:spacing w:after="120"/>
      </w:pPr>
      <w:r>
        <w:t xml:space="preserve">This document is the complete task breakdown for a team of four to deliver that as “Phase 1” (the jewelry retail core), in the same repository, without breaking anything that exists today. It assumes the team members are comfortable directing an AI coding assistant against precise, file-level instructions, but have not necessarily worked on a shared Laravel codebase as a team before — so every task below names the actual files/tables/classes involved rather than leaving them to be discovered.</w:t>
      </w:r>
    </w:p>
    <w:p>
      <w:pPr>
        <w:spacing w:after="120"/>
      </w:pPr>
      <w:r>
        <w:t xml:space="preserve">A companion document, “Grids Gold — GitHub Collaboration Guide,” covers the day-to-day mechanics of branching, committing, opening pull requests, and resolving conflicts so the four of you don't collide with each other while working through these tasks.</w:t>
      </w:r>
    </w:p>
    <w:p>
      <w:pPr>
        <w:pBdr>
          <w:left w:val="single" w:color="9C6B1F" w:sz="18" w:space="8"/>
        </w:pBdr>
        <w:shd w:fill="FBF3E5" w:val="clear"/>
        <w:spacing w:after="160" w:before="80"/>
        <w:ind w:left="200"/>
      </w:pPr>
      <w:r>
        <w:rPr>
          <w:b/>
          <w:bCs/>
          <w:i/>
          <w:iCs/>
          <w:color w:val="9C6B1F"/>
        </w:rPr>
        <w:t xml:space="preserve">Assumption / open item: </w:t>
      </w:r>
      <w:r>
        <w:rPr>
          <w:i/>
          <w:iCs/>
          <w:color w:val="555555"/>
        </w:rPr>
        <w:t xml:space="preserve">Two decisions below (frontend approach, per-tenant toggle) were confirmed with the client before writing this plan. Everything else that the source documents did not specify outright (see §2.4) is called out explicitly as an assumption so it can be corrected before Sprint 1 starts.</w:t>
      </w:r>
    </w:p>
    <w:p>
      <w:pPr>
        <w:pStyle w:val="Heading1"/>
        <w:spacing w:after="160" w:before="360"/>
      </w:pPr>
      <w:r>
        <w:t xml:space="preserve">2. Key Architecture Decisions</w:t>
      </w:r>
    </w:p>
    <w:p>
      <w:pPr>
        <w:spacing w:after="120"/>
      </w:pPr>
      <w:r>
        <w:t xml:space="preserve">These decisions were made by comparing the two source documents against the real codebase (which was inspected directly, including its migrations, models, controllers and two database dumps). Every section after this one follows from these decisions — read this section before assigning or starting any task.</w:t>
      </w:r>
    </w:p>
    <w:p>
      <w:pPr>
        <w:pStyle w:val="Heading2"/>
        <w:spacing w:after="120" w:before="280"/>
      </w:pPr>
      <w:r>
        <w:t xml:space="preserve">2.1 Extend the existing Blade + Vue 2 admin — do not build the SRS's Next.js frontend</w:t>
      </w:r>
    </w:p>
    <w:p>
      <w:pPr>
        <w:spacing w:after="120"/>
      </w:pPr>
      <w:r>
        <w:t xml:space="preserve">The Grids Gold SRS.docx describes an aspirational full rewrite: a separate Next.js 15 (App Router) + TypeScript + shadcn/ui single-page app talking to a versioned REST API, with Laravel Sanctum auth. None of that exists in the real app. The real, running Quantro app is Laravel 12 with server-rendered Blade views, a Vue 2.7 admin SPA compiled by Laravel Mix (Bootstrap-Vue + Tailwind utility classes + Alpine.js for lighter pages), and Laravel Passport for API auth (not Sanctum).</w:t>
      </w:r>
    </w:p>
    <w:p>
      <w:pPr>
        <w:spacing w:after="120"/>
      </w:pPr>
      <w:r>
        <w:t xml:space="preserve">Decision (confirmed with client): build every new jewelry screen inside the existing Blade + Vue 2 admin, in the same style as current screens (e.g. the Products screen). Do not introduce Next.js, TypeScript, or a new API auth system. This is an order of magnitude less work and ships inside the timeline in §9; a Next.js rewrite would be a separate, much larger project.</w:t>
      </w:r>
    </w:p>
    <w:p>
      <w:pPr>
        <w:pStyle w:val="Heading2"/>
        <w:spacing w:after="120" w:before="280"/>
      </w:pPr>
      <w:r>
        <w:t xml:space="preserve">2.2 “jewelry_mode” — a per-tenant opt-in toggle, not a fork</w:t>
      </w:r>
    </w:p>
    <w:p>
      <w:pPr>
        <w:spacing w:after="120"/>
      </w:pPr>
      <w:r>
        <w:t xml:space="preserve">Quantro already has a precedent for exactly this kind of vertical customization: pharmacy support was added as an opt-in “pharmacy_mode” boolean on the tenant's settings table, with pharmacy-only columns added to the products table behind Schema::hasColumn() guards, and pharmacy-only UI shown conditionally. Nothing about pharmacy_mode affects tenants who don't enable it.</w:t>
      </w:r>
    </w:p>
    <w:p>
      <w:pPr>
        <w:spacing w:after="120"/>
      </w:pPr>
      <w:r>
        <w:t xml:space="preserve">Decision: add jewelry_mode the same way. Grids Gold's tenant gets it turned on; every other tenant on the platform is completely unaffected, the change is trivially reversible, and it costs no extra development time compared to a one-off fork — it is simply a boolean check placed around new code, not a parallel codebase. All new database columns are additive and guarded (never modify or remove an existing column); all new UI sections only render when jewelry_mode is on.</w:t>
      </w:r>
    </w:p>
    <w:p>
      <w:pPr>
        <w:pStyle w:val="Heading2"/>
        <w:spacing w:after="120" w:before="280"/>
      </w:pPr>
      <w:r>
        <w:t xml:space="preserve">2.3 “Company” and “Branch” map onto what already exists</w:t>
      </w:r>
    </w:p>
    <w:p>
      <w:pPr>
        <w:spacing w:after="120"/>
      </w:pPr>
      <w:r>
        <w:t xml:space="preserve">The two source documents assume a Company → Branch → Warehouse → Vault hierarchy with company_id/branch_id scoping on every table. The real platform already isolates tenants completely at the database level (each tenant has its own physical database — there is no shared tenant_id column anywhere, because there's no shared table to begin with). Inside a tenant's database there is a single companies row (a business-profile settings blob, not a multi-company structure) and no branch table at all — the existing location concept is Warehouse (plus WarehouseLocation, which already models rack/shelf/location — a ready-made fit for “showroom / safe / workshop / transit” from the customization brief).</w:t>
      </w:r>
    </w:p>
    <w:p>
      <w:pPr>
        <w:spacing w:after="120"/>
      </w:pPr>
      <w:r>
        <w:t xml:space="preserve">Decision: do not build a parallel Company/Branch hierarchy. Use the existing Warehouse as “branch” and the existing WarehouseLocation as the safe/showroom/workshop distinction. This satisfies the brief's isolation requirements (every jewelry record is scoped to a warehouse and, optionally, a warehouse_location) without duplicating isolation the platform already provides at the database level.</w:t>
      </w:r>
    </w:p>
    <w:p>
      <w:pPr>
        <w:pBdr>
          <w:left w:val="single" w:color="9C6B1F" w:sz="18" w:space="8"/>
        </w:pBdr>
        <w:shd w:fill="FBF3E5" w:val="clear"/>
        <w:spacing w:after="160" w:before="80"/>
        <w:ind w:left="200"/>
      </w:pPr>
      <w:r>
        <w:rPr>
          <w:b/>
          <w:bCs/>
          <w:i/>
          <w:iCs/>
          <w:color w:val="9C6B1F"/>
        </w:rPr>
        <w:t xml:space="preserve">Assumption / open item: </w:t>
      </w:r>
      <w:r>
        <w:rPr>
          <w:i/>
          <w:iCs/>
          <w:color w:val="555555"/>
        </w:rPr>
        <w:t xml:space="preserve">If Grids Gold genuinely needs multiple legal companies under one subscription (not just multiple showrooms), that is a platform-level change bigger than Phase 1 and should be raised with the client separately — it is out of scope here.</w:t>
      </w:r>
    </w:p>
    <w:p>
      <w:pPr>
        <w:pStyle w:val="Heading2"/>
        <w:spacing w:after="120" w:before="280"/>
      </w:pPr>
      <w:r>
        <w:t xml:space="preserve">2.4 The pricing formula's shape is given; the exact making-charge math is configurable, not fixed</w:t>
      </w:r>
    </w:p>
    <w:p>
      <w:pPr>
        <w:spacing w:after="120"/>
      </w:pPr>
      <w:r>
        <w:t xml:space="preserve">The customization brief gives a concrete calculation sequence (Metal Value → Wastage → Making Charge → Base Jewelry Value → Selling Price, detailed in §5.3) and explicitly says making-charge method must stay configurable because different jewelers price differently. The SRS names the same ingredients (gold price, making charge, stone value) but never states the arithmetic, confirming this is intentionally left open rather than an oversight in research.</w:t>
      </w:r>
    </w:p>
    <w:p>
      <w:pPr>
        <w:spacing w:after="120"/>
      </w:pPr>
      <w:r>
        <w:t xml:space="preserve">Decision: implement all five making-charge methods the brief lists (fixed per item, per gram, percentage of metal value, manual entry, formula-based) as configuration, selectable per item or set as a company default, rather than guessing at one “correct” formula. See §5.3 for the full engine design.</w:t>
      </w:r>
    </w:p>
    <w:p>
      <w:pPr>
        <w:pStyle w:val="Heading2"/>
        <w:spacing w:after="120" w:before="280"/>
      </w:pPr>
      <w:r>
        <w:t xml:space="preserve">2.5 What is explicitly out of scope for Phase 1</w:t>
      </w:r>
    </w:p>
    <w:p>
      <w:pPr>
        <w:spacing w:after="120"/>
      </w:pPr>
      <w:r>
        <w:t xml:space="preserve">Both source documents agree on this list (the SRS's own future-roadmap section independently confirms most of it), so it is not treated as ambiguous:</w:t>
      </w:r>
    </w:p>
    <w:p>
      <w:pPr>
        <w:pStyle w:val="ListParagraph"/>
        <w:numPr>
          <w:ilvl w:val="0"/>
          <w:numId w:val="2"/>
        </w:numPr>
        <w:spacing w:after="60"/>
      </w:pPr>
      <w:r>
        <w:t xml:space="preserve">Manufacturing / casting / bill of materials / factory production / scrap recovery</w:t>
      </w:r>
    </w:p>
    <w:p>
      <w:pPr>
        <w:pStyle w:val="ListParagraph"/>
        <w:numPr>
          <w:ilvl w:val="0"/>
          <w:numId w:val="2"/>
        </w:numPr>
        <w:spacing w:after="60"/>
      </w:pPr>
      <w:r>
        <w:t xml:space="preserve">Repair management (intake, weight/stone verification, delivery)</w:t>
      </w:r>
    </w:p>
    <w:p>
      <w:pPr>
        <w:pStyle w:val="ListParagraph"/>
        <w:numPr>
          <w:ilvl w:val="0"/>
          <w:numId w:val="2"/>
        </w:numPr>
        <w:spacing w:after="60"/>
      </w:pPr>
      <w:r>
        <w:t xml:space="preserve">Wholesale memo, salesman inventory, advanced appraisal, scrap and trade-in</w:t>
      </w:r>
    </w:p>
    <w:p>
      <w:pPr>
        <w:pStyle w:val="ListParagraph"/>
        <w:numPr>
          <w:ilvl w:val="0"/>
          <w:numId w:val="2"/>
        </w:numPr>
        <w:spacing w:after="60"/>
      </w:pPr>
      <w:r>
        <w:t xml:space="preserve">A full customer-facing portal and dynamic online repricing</w:t>
      </w:r>
    </w:p>
    <w:p>
      <w:pPr>
        <w:pStyle w:val="ListParagraph"/>
        <w:numPr>
          <w:ilvl w:val="0"/>
          <w:numId w:val="2"/>
        </w:numPr>
        <w:spacing w:after="60"/>
      </w:pPr>
      <w:r>
        <w:t xml:space="preserve">RFID (barcode/QR remain in scope for POS scanning; RFID is a later add-on)</w:t>
      </w:r>
    </w:p>
    <w:p>
      <w:pPr>
        <w:pStyle w:val="ListParagraph"/>
        <w:numPr>
          <w:ilvl w:val="0"/>
          <w:numId w:val="2"/>
        </w:numPr>
        <w:spacing w:after="60"/>
      </w:pPr>
      <w:r>
        <w:t xml:space="preserve">A full double-entry “Gold Ledger” module — Phase 1 ships gold-rate history and per-invoice snapshots only (see §5.2), which is what “daily gold rate” and “posted invoice snapshot” actually require; a parallel gold-weight general ledger is deferred</w:t>
      </w:r>
    </w:p>
    <w:p>
      <w:pPr>
        <w:spacing w:after="120"/>
      </w:pPr>
      <w:r>
        <w:t xml:space="preserve">Keep this list visible during planning — it is the fastest way to catch scope creep in a 9-week plan.</w:t>
      </w:r>
    </w:p>
    <w:p>
      <w:r>
        <w:br w:type="page"/>
      </w:r>
    </w:p>
    <w:p>
      <w:pPr>
        <w:pStyle w:val="Heading1"/>
        <w:spacing w:after="160" w:before="360"/>
      </w:pPr>
      <w:r>
        <w:t xml:space="preserve">3. Team Roles and Branch Ownership</w:t>
      </w:r>
    </w:p>
    <w:p>
      <w:pPr>
        <w:spacing w:after="120"/>
      </w:pPr>
      <w:r>
        <w:t xml:space="preserve">Four workstreams are defined so that, most of the time, each person is editing a different set of files — this is the single biggest thing that keeps four people from producing constant merge conflicts. Cross-workstream changes (e.g. Person 2 needing a column Person 1 owns) are flagged explicitly in the tasks below so they can be requested a sprint ahead of time instead of causing a mid-sprint scramble.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600"/>
        <w:gridCol w:w="2040"/>
      </w:tblGrid>
      <w:tr>
        <w:trPr>
          <w:tblHeader/>
        </w:trPr>
        <w:tc>
          <w:tcPr>
            <w:tcW w:type="dxa" w:w="1500"/>
            <w:shd w:fill="1F3864" w:val="clear"/>
            <w:tcMar>
              <w:top w:type="dxa" w:w="60"/>
              <w:left w:type="dxa" w:w="100"/>
              <w:bottom w:type="dxa" w:w="60"/>
              <w:right w:type="dxa" w:w="100"/>
            </w:tcMar>
          </w:tcPr>
          <w:p>
            <w:pPr>
              <w:jc w:val="left"/>
            </w:pPr>
            <w:r>
              <w:rPr>
                <w:b/>
                <w:bCs/>
                <w:color w:val="FFFFFF"/>
                <w:sz w:val="20"/>
                <w:szCs w:val="20"/>
              </w:rPr>
              <w:t xml:space="preserve">Role</w:t>
            </w:r>
          </w:p>
        </w:tc>
        <w:tc>
          <w:tcPr>
            <w:tcW w:type="dxa" w:w="2500"/>
            <w:shd w:fill="1F3864" w:val="clear"/>
            <w:tcMar>
              <w:top w:type="dxa" w:w="60"/>
              <w:left w:type="dxa" w:w="100"/>
              <w:bottom w:type="dxa" w:w="60"/>
              <w:right w:type="dxa" w:w="100"/>
            </w:tcMar>
          </w:tcPr>
          <w:p>
            <w:pPr>
              <w:jc w:val="left"/>
            </w:pPr>
            <w:r>
              <w:rPr>
                <w:b/>
                <w:bCs/>
                <w:color w:val="FFFFFF"/>
                <w:sz w:val="20"/>
                <w:szCs w:val="20"/>
              </w:rPr>
              <w:t xml:space="preserve">Owns</w:t>
            </w:r>
          </w:p>
        </w:tc>
        <w:tc>
          <w:tcPr>
            <w:tcW w:type="dxa" w:w="3600"/>
            <w:shd w:fill="1F3864" w:val="clear"/>
            <w:tcMar>
              <w:top w:type="dxa" w:w="60"/>
              <w:left w:type="dxa" w:w="100"/>
              <w:bottom w:type="dxa" w:w="60"/>
              <w:right w:type="dxa" w:w="100"/>
            </w:tcMar>
          </w:tcPr>
          <w:p>
            <w:pPr>
              <w:jc w:val="left"/>
            </w:pPr>
            <w:r>
              <w:rPr>
                <w:b/>
                <w:bCs/>
                <w:color w:val="FFFFFF"/>
                <w:sz w:val="20"/>
                <w:szCs w:val="20"/>
              </w:rPr>
              <w:t xml:space="preserve">Primary files / areas</w:t>
            </w:r>
          </w:p>
        </w:tc>
        <w:tc>
          <w:tcPr>
            <w:tcW w:type="dxa" w:w="2040"/>
            <w:shd w:fill="1F3864" w:val="clear"/>
            <w:tcMar>
              <w:top w:type="dxa" w:w="60"/>
              <w:left w:type="dxa" w:w="100"/>
              <w:bottom w:type="dxa" w:w="60"/>
              <w:right w:type="dxa" w:w="100"/>
            </w:tcMar>
          </w:tcPr>
          <w:p>
            <w:pPr>
              <w:jc w:val="left"/>
            </w:pPr>
            <w:r>
              <w:rPr>
                <w:b/>
                <w:bCs/>
                <w:color w:val="FFFFFF"/>
                <w:sz w:val="20"/>
                <w:szCs w:val="20"/>
              </w:rPr>
              <w:t xml:space="preserve">Primary branches</w:t>
            </w:r>
          </w:p>
        </w:tc>
      </w:tr>
      <w:tr>
        <w:tc>
          <w:tcPr>
            <w:tcW w:type="dxa" w:w="1500"/>
            <w:tcMar>
              <w:top w:type="dxa" w:w="60"/>
              <w:left w:type="dxa" w:w="100"/>
              <w:bottom w:type="dxa" w:w="60"/>
              <w:right w:type="dxa" w:w="100"/>
            </w:tcMar>
          </w:tcPr>
          <w:p>
            <w:pPr>
              <w:jc w:val="left"/>
            </w:pPr>
            <w:r>
              <w:rPr>
                <w:b w:val="false"/>
                <w:bCs w:val="false"/>
                <w:color w:val="000000"/>
                <w:sz w:val="20"/>
                <w:szCs w:val="20"/>
              </w:rPr>
              <w:t xml:space="preserve">Person 1
Data &amp; Backend Foundations Lead</w:t>
            </w:r>
          </w:p>
        </w:tc>
        <w:tc>
          <w:tcPr>
            <w:tcW w:type="dxa" w:w="2500"/>
            <w:tcMar>
              <w:top w:type="dxa" w:w="60"/>
              <w:left w:type="dxa" w:w="100"/>
              <w:bottom w:type="dxa" w:w="60"/>
              <w:right w:type="dxa" w:w="100"/>
            </w:tcMar>
          </w:tcPr>
          <w:p>
            <w:pPr>
              <w:jc w:val="left"/>
            </w:pPr>
            <w:r>
              <w:rPr>
                <w:b w:val="false"/>
                <w:bCs w:val="false"/>
                <w:color w:val="000000"/>
                <w:sz w:val="20"/>
                <w:szCs w:val="20"/>
              </w:rPr>
              <w:t xml:space="preserve">Schema, reference data, settings, permissions</w:t>
            </w:r>
          </w:p>
        </w:tc>
        <w:tc>
          <w:tcPr>
            <w:tcW w:type="dxa" w:w="3600"/>
            <w:tcMar>
              <w:top w:type="dxa" w:w="60"/>
              <w:left w:type="dxa" w:w="100"/>
              <w:bottom w:type="dxa" w:w="60"/>
              <w:right w:type="dxa" w:w="100"/>
            </w:tcMar>
          </w:tcPr>
          <w:p>
            <w:pPr>
              <w:jc w:val="left"/>
            </w:pPr>
            <w:r>
              <w:rPr>
                <w:b w:val="false"/>
                <w:bCs w:val="false"/>
                <w:color w:val="000000"/>
                <w:sz w:val="20"/>
                <w:szCs w:val="20"/>
              </w:rPr>
              <w:t xml:space="preserve">database/migrations/tenant/*, app/Models/MetalType.php, Karat.php, StoneType.php, ItemStone.php, GoldRate.php, app/Models/Setting.php, app/Models/PosSetting.php, database/seeders/*</w:t>
            </w:r>
          </w:p>
        </w:tc>
        <w:tc>
          <w:tcPr>
            <w:tcW w:type="dxa" w:w="2040"/>
            <w:tcMar>
              <w:top w:type="dxa" w:w="60"/>
              <w:left w:type="dxa" w:w="100"/>
              <w:bottom w:type="dxa" w:w="60"/>
              <w:right w:type="dxa" w:w="100"/>
            </w:tcMar>
          </w:tcPr>
          <w:p>
            <w:pPr>
              <w:jc w:val="left"/>
            </w:pPr>
            <w:r>
              <w:rPr>
                <w:b w:val="false"/>
                <w:bCs w:val="false"/>
                <w:color w:val="000000"/>
                <w:sz w:val="20"/>
                <w:szCs w:val="20"/>
              </w:rPr>
              <w:t xml:space="preserve">feature/jwl-db-schema
feature/jwl-permissions
feature/jwl-settings</w:t>
            </w:r>
          </w:p>
        </w:tc>
      </w:tr>
      <w:tr>
        <w:tc>
          <w:tcPr>
            <w:tcW w:type="dxa" w:w="1500"/>
            <w:shd w:fill="F5F5F5" w:val="clear"/>
            <w:tcMar>
              <w:top w:type="dxa" w:w="60"/>
              <w:left w:type="dxa" w:w="100"/>
              <w:bottom w:type="dxa" w:w="60"/>
              <w:right w:type="dxa" w:w="100"/>
            </w:tcMar>
          </w:tcPr>
          <w:p>
            <w:pPr>
              <w:jc w:val="left"/>
            </w:pPr>
            <w:r>
              <w:rPr>
                <w:b w:val="false"/>
                <w:bCs w:val="false"/>
                <w:color w:val="000000"/>
                <w:sz w:val="20"/>
                <w:szCs w:val="20"/>
              </w:rPr>
              <w:t xml:space="preserve">Person 2
Pricing Engine &amp; Sales Integration Lead</w:t>
            </w:r>
          </w:p>
        </w:tc>
        <w:tc>
          <w:tcPr>
            <w:tcW w:type="dxa" w:w="2500"/>
            <w:shd w:fill="F5F5F5" w:val="clear"/>
            <w:tcMar>
              <w:top w:type="dxa" w:w="60"/>
              <w:left w:type="dxa" w:w="100"/>
              <w:bottom w:type="dxa" w:w="60"/>
              <w:right w:type="dxa" w:w="100"/>
            </w:tcMar>
          </w:tcPr>
          <w:p>
            <w:pPr>
              <w:jc w:val="left"/>
            </w:pPr>
            <w:r>
              <w:rPr>
                <w:b w:val="false"/>
                <w:bCs w:val="false"/>
                <w:color w:val="000000"/>
                <w:sz w:val="20"/>
                <w:szCs w:val="20"/>
              </w:rPr>
              <w:t xml:space="preserve">Gold rate service, pricing engine, POS/invoice hook-in, snapshot columns</w:t>
            </w:r>
          </w:p>
        </w:tc>
        <w:tc>
          <w:tcPr>
            <w:tcW w:type="dxa" w:w="3600"/>
            <w:shd w:fill="F5F5F5" w:val="clear"/>
            <w:tcMar>
              <w:top w:type="dxa" w:w="60"/>
              <w:left w:type="dxa" w:w="100"/>
              <w:bottom w:type="dxa" w:w="60"/>
              <w:right w:type="dxa" w:w="100"/>
            </w:tcMar>
          </w:tcPr>
          <w:p>
            <w:pPr>
              <w:jc w:val="left"/>
            </w:pPr>
            <w:r>
              <w:rPr>
                <w:b w:val="false"/>
                <w:bCs w:val="false"/>
                <w:color w:val="000000"/>
                <w:sz w:val="20"/>
                <w:szCs w:val="20"/>
              </w:rPr>
              <w:t xml:space="preserve">app/Services/Jewelry/*, app/Http/Controllers/PosController.php, SalesController.php, app/Models/SaleDetail.php, sale_details migration</w:t>
            </w:r>
          </w:p>
        </w:tc>
        <w:tc>
          <w:tcPr>
            <w:tcW w:type="dxa" w:w="2040"/>
            <w:shd w:fill="F5F5F5" w:val="clear"/>
            <w:tcMar>
              <w:top w:type="dxa" w:w="60"/>
              <w:left w:type="dxa" w:w="100"/>
              <w:bottom w:type="dxa" w:w="60"/>
              <w:right w:type="dxa" w:w="100"/>
            </w:tcMar>
          </w:tcPr>
          <w:p>
            <w:pPr>
              <w:jc w:val="left"/>
            </w:pPr>
            <w:r>
              <w:rPr>
                <w:b w:val="false"/>
                <w:bCs w:val="false"/>
                <w:color w:val="000000"/>
                <w:sz w:val="20"/>
                <w:szCs w:val="20"/>
              </w:rPr>
              <w:t xml:space="preserve">feature/jwl-gold-rate-service
feature/jwl-pricing-engine
feature/jwl-pos-invoice</w:t>
            </w:r>
          </w:p>
        </w:tc>
      </w:tr>
      <w:tr>
        <w:tc>
          <w:tcPr>
            <w:tcW w:type="dxa" w:w="1500"/>
            <w:tcMar>
              <w:top w:type="dxa" w:w="60"/>
              <w:left w:type="dxa" w:w="100"/>
              <w:bottom w:type="dxa" w:w="60"/>
              <w:right w:type="dxa" w:w="100"/>
            </w:tcMar>
          </w:tcPr>
          <w:p>
            <w:pPr>
              <w:jc w:val="left"/>
            </w:pPr>
            <w:r>
              <w:rPr>
                <w:b w:val="false"/>
                <w:bCs w:val="false"/>
                <w:color w:val="000000"/>
                <w:sz w:val="20"/>
                <w:szCs w:val="20"/>
              </w:rPr>
              <w:t xml:space="preserve">Person 3
Frontend/UI Lead</w:t>
            </w:r>
          </w:p>
        </w:tc>
        <w:tc>
          <w:tcPr>
            <w:tcW w:type="dxa" w:w="2500"/>
            <w:tcMar>
              <w:top w:type="dxa" w:w="60"/>
              <w:left w:type="dxa" w:w="100"/>
              <w:bottom w:type="dxa" w:w="60"/>
              <w:right w:type="dxa" w:w="100"/>
            </w:tcMar>
          </w:tcPr>
          <w:p>
            <w:pPr>
              <w:jc w:val="left"/>
            </w:pPr>
            <w:r>
              <w:rPr>
                <w:b w:val="false"/>
                <w:bCs w:val="false"/>
                <w:color w:val="000000"/>
                <w:sz w:val="20"/>
                <w:szCs w:val="20"/>
              </w:rPr>
              <w:t xml:space="preserve">Item form, item list, gold rate screen, pricing preview widget, POS/invoice UI</w:t>
            </w:r>
          </w:p>
        </w:tc>
        <w:tc>
          <w:tcPr>
            <w:tcW w:type="dxa" w:w="3600"/>
            <w:tcMar>
              <w:top w:type="dxa" w:w="60"/>
              <w:left w:type="dxa" w:w="100"/>
              <w:bottom w:type="dxa" w:w="60"/>
              <w:right w:type="dxa" w:w="100"/>
            </w:tcMar>
          </w:tcPr>
          <w:p>
            <w:pPr>
              <w:jc w:val="left"/>
            </w:pPr>
            <w:r>
              <w:rPr>
                <w:b w:val="false"/>
                <w:bCs w:val="false"/>
                <w:color w:val="000000"/>
                <w:sz w:val="20"/>
                <w:szCs w:val="20"/>
              </w:rPr>
              <w:t xml:space="preserve">resources/src (Vue components for Products, POS), resources/views (Blade shells, invoice/receipt templates), new GoldRates.vue, PricingPreview.vue</w:t>
            </w:r>
          </w:p>
        </w:tc>
        <w:tc>
          <w:tcPr>
            <w:tcW w:type="dxa" w:w="2040"/>
            <w:tcMar>
              <w:top w:type="dxa" w:w="60"/>
              <w:left w:type="dxa" w:w="100"/>
              <w:bottom w:type="dxa" w:w="60"/>
              <w:right w:type="dxa" w:w="100"/>
            </w:tcMar>
          </w:tcPr>
          <w:p>
            <w:pPr>
              <w:jc w:val="left"/>
            </w:pPr>
            <w:r>
              <w:rPr>
                <w:b w:val="false"/>
                <w:bCs w:val="false"/>
                <w:color w:val="000000"/>
                <w:sz w:val="20"/>
                <w:szCs w:val="20"/>
              </w:rPr>
              <w:t xml:space="preserve">feature/jwl-item-form-ui
feature/jwl-goldrate-ui
feature/jwl-pos-ui</w:t>
            </w:r>
          </w:p>
        </w:tc>
      </w:tr>
      <w:tr>
        <w:tc>
          <w:tcPr>
            <w:tcW w:type="dxa" w:w="1500"/>
            <w:shd w:fill="F5F5F5" w:val="clear"/>
            <w:tcMar>
              <w:top w:type="dxa" w:w="60"/>
              <w:left w:type="dxa" w:w="100"/>
              <w:bottom w:type="dxa" w:w="60"/>
              <w:right w:type="dxa" w:w="100"/>
            </w:tcMar>
          </w:tcPr>
          <w:p>
            <w:pPr>
              <w:jc w:val="left"/>
            </w:pPr>
            <w:r>
              <w:rPr>
                <w:b w:val="false"/>
                <w:bCs w:val="false"/>
                <w:color w:val="000000"/>
                <w:sz w:val="20"/>
                <w:szCs w:val="20"/>
              </w:rPr>
              <w:t xml:space="preserve">Person 4
Inventory, QA &amp; Release Lead</w:t>
            </w:r>
          </w:p>
        </w:tc>
        <w:tc>
          <w:tcPr>
            <w:tcW w:type="dxa" w:w="2500"/>
            <w:shd w:fill="F5F5F5" w:val="clear"/>
            <w:tcMar>
              <w:top w:type="dxa" w:w="60"/>
              <w:left w:type="dxa" w:w="100"/>
              <w:bottom w:type="dxa" w:w="60"/>
              <w:right w:type="dxa" w:w="100"/>
            </w:tcMar>
          </w:tcPr>
          <w:p>
            <w:pPr>
              <w:jc w:val="left"/>
            </w:pPr>
            <w:r>
              <w:rPr>
                <w:b w:val="false"/>
                <w:bCs w:val="false"/>
                <w:color w:val="000000"/>
                <w:sz w:val="20"/>
                <w:szCs w:val="20"/>
              </w:rPr>
              <w:t xml:space="preserve">Weight-based inventory, reports, full regression + UAT, merge coordination</w:t>
            </w:r>
          </w:p>
        </w:tc>
        <w:tc>
          <w:tcPr>
            <w:tcW w:type="dxa" w:w="3600"/>
            <w:shd w:fill="F5F5F5" w:val="clear"/>
            <w:tcMar>
              <w:top w:type="dxa" w:w="60"/>
              <w:left w:type="dxa" w:w="100"/>
              <w:bottom w:type="dxa" w:w="60"/>
              <w:right w:type="dxa" w:w="100"/>
            </w:tcMar>
          </w:tcPr>
          <w:p>
            <w:pPr>
              <w:jc w:val="left"/>
            </w:pPr>
            <w:r>
              <w:rPr>
                <w:b w:val="false"/>
                <w:bCs w:val="false"/>
                <w:color w:val="000000"/>
                <w:sz w:val="20"/>
                <w:szCs w:val="20"/>
              </w:rPr>
              <w:t xml:space="preserve">app/Models/ProductSerial.php / ProductSerialMovement.php (extend), product_warehouse migrations, app/Http/Controllers/ReportController.php, test plans</w:t>
            </w:r>
          </w:p>
        </w:tc>
        <w:tc>
          <w:tcPr>
            <w:tcW w:type="dxa" w:w="2040"/>
            <w:shd w:fill="F5F5F5" w:val="clear"/>
            <w:tcMar>
              <w:top w:type="dxa" w:w="60"/>
              <w:left w:type="dxa" w:w="100"/>
              <w:bottom w:type="dxa" w:w="60"/>
              <w:right w:type="dxa" w:w="100"/>
            </w:tcMar>
          </w:tcPr>
          <w:p>
            <w:pPr>
              <w:jc w:val="left"/>
            </w:pPr>
            <w:r>
              <w:rPr>
                <w:b w:val="false"/>
                <w:bCs w:val="false"/>
                <w:color w:val="000000"/>
                <w:sz w:val="20"/>
                <w:szCs w:val="20"/>
              </w:rPr>
              <w:t xml:space="preserve">feature/jwl-weight-inventory
feature/jwl-reports
(also merges develop → main at each sprint close)</w:t>
            </w:r>
          </w:p>
        </w:tc>
      </w:tr>
    </w:tbl>
    <w:p>
      <w:pPr>
        <w:spacing w:after="120"/>
      </w:pPr>
      <w:r>
        <w:t xml:space="preserve">Person 4 additionally acts as the team's “release manager” for this project: reviewing/merging the other three's pull requests into develop each sprint and being the one who resolves cross-branch conflicts when two people genuinely had to touch the same file, exactly as described in the companion GitHub guide.</w:t>
      </w:r>
    </w:p>
    <w:p>
      <w:pPr>
        <w:pBdr>
          <w:left w:val="single" w:color="9C6B1F" w:sz="18" w:space="8"/>
        </w:pBdr>
        <w:shd w:fill="FBF3E5" w:val="clear"/>
        <w:spacing w:after="160" w:before="80"/>
        <w:ind w:left="200"/>
      </w:pPr>
      <w:r>
        <w:rPr>
          <w:b/>
          <w:bCs/>
          <w:i/>
          <w:iCs/>
          <w:color w:val="9C6B1F"/>
        </w:rPr>
        <w:t xml:space="preserve">Assumption / open item: </w:t>
      </w:r>
      <w:r>
        <w:rPr>
          <w:i/>
          <w:iCs/>
          <w:color w:val="555555"/>
        </w:rPr>
        <w:t xml:space="preserve">If your four team members' actual strengths don't match this split 1:1 (e.g. two people are stronger on backend), swap the workstreams, not the underlying tasks — the task list in §7 stays valid either way, only the “who” column changes.</w:t>
      </w:r>
    </w:p>
    <w:p>
      <w:r>
        <w:br w:type="page"/>
      </w:r>
    </w:p>
    <w:p>
      <w:pPr>
        <w:pStyle w:val="Heading1"/>
        <w:spacing w:after="160" w:before="360"/>
      </w:pPr>
      <w:r>
        <w:t xml:space="preserve">4. Data Model Changes</w:t>
      </w:r>
    </w:p>
    <w:p>
      <w:pPr>
        <w:spacing w:after="120"/>
      </w:pPr>
      <w:r>
        <w:t xml:space="preserve">All changes below are additive migrations placed in database/migrations/tenant/ (so they run per-tenant, matching how every other module in this codebase is installed), following the exact pattern already used for the pharmacy customization: every new column is wrapped in a Schema::hasColumn() guard and every migration has a working down(). Nothing existing is renamed, dropped, or repurposed.</w:t>
      </w:r>
    </w:p>
    <w:p>
      <w:pPr>
        <w:pStyle w:val="Heading3"/>
        <w:spacing w:after="100" w:before="200"/>
      </w:pPr>
      <w:r>
        <w:t xml:space="preserve">4.1 New reference tables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6440"/>
      </w:tblGrid>
      <w:tr>
        <w:trPr>
          <w:tblHeader/>
        </w:trPr>
        <w:tc>
          <w:tcPr>
            <w:tcW w:type="dxa" w:w="2200"/>
            <w:shd w:fill="1F3864" w:val="clear"/>
            <w:tcMar>
              <w:top w:type="dxa" w:w="60"/>
              <w:left w:type="dxa" w:w="100"/>
              <w:bottom w:type="dxa" w:w="60"/>
              <w:right w:type="dxa" w:w="100"/>
            </w:tcMar>
          </w:tcPr>
          <w:p>
            <w:pPr>
              <w:jc w:val="left"/>
            </w:pPr>
            <w:r>
              <w:rPr>
                <w:b/>
                <w:bCs/>
                <w:color w:val="FFFFFF"/>
                <w:sz w:val="20"/>
                <w:szCs w:val="20"/>
              </w:rPr>
              <w:t xml:space="preserve">Table</w:t>
            </w:r>
          </w:p>
        </w:tc>
        <w:tc>
          <w:tcPr>
            <w:tcW w:type="dxa" w:w="6440"/>
            <w:shd w:fill="1F3864" w:val="clear"/>
            <w:tcMar>
              <w:top w:type="dxa" w:w="60"/>
              <w:left w:type="dxa" w:w="100"/>
              <w:bottom w:type="dxa" w:w="60"/>
              <w:right w:type="dxa" w:w="100"/>
            </w:tcMar>
          </w:tcPr>
          <w:p>
            <w:pPr>
              <w:jc w:val="left"/>
            </w:pPr>
            <w:r>
              <w:rPr>
                <w:b/>
                <w:bCs/>
                <w:color w:val="FFFFFF"/>
                <w:sz w:val="20"/>
                <w:szCs w:val="20"/>
              </w:rPr>
              <w:t xml:space="preserve">Purpose and key columns</w:t>
            </w:r>
          </w:p>
        </w:tc>
      </w:tr>
      <w:tr>
        <w:tc>
          <w:tcPr>
            <w:tcW w:type="dxa" w:w="2200"/>
            <w:tcMar>
              <w:top w:type="dxa" w:w="60"/>
              <w:left w:type="dxa" w:w="100"/>
              <w:bottom w:type="dxa" w:w="60"/>
              <w:right w:type="dxa" w:w="100"/>
            </w:tcMar>
          </w:tcPr>
          <w:p>
            <w:pPr>
              <w:jc w:val="left"/>
            </w:pPr>
            <w:r>
              <w:rPr>
                <w:b w:val="false"/>
                <w:bCs w:val="false"/>
                <w:color w:val="000000"/>
                <w:sz w:val="20"/>
                <w:szCs w:val="20"/>
              </w:rPr>
              <w:t xml:space="preserve">metal_types</w:t>
            </w:r>
          </w:p>
        </w:tc>
        <w:tc>
          <w:tcPr>
            <w:tcW w:type="dxa" w:w="6440"/>
            <w:tcMar>
              <w:top w:type="dxa" w:w="60"/>
              <w:left w:type="dxa" w:w="100"/>
              <w:bottom w:type="dxa" w:w="60"/>
              <w:right w:type="dxa" w:w="100"/>
            </w:tcMar>
          </w:tcPr>
          <w:p>
            <w:pPr>
              <w:jc w:val="left"/>
            </w:pPr>
            <w:r>
              <w:rPr>
                <w:b w:val="false"/>
                <w:bCs w:val="false"/>
                <w:color w:val="000000"/>
                <w:sz w:val="20"/>
                <w:szCs w:val="20"/>
              </w:rPr>
              <w:t xml:space="preserve">id, name, code, density (nullable), is_active. Seed: Gold, Silver, Platinum (extensible per tenant).</w:t>
            </w:r>
          </w:p>
        </w:tc>
      </w:tr>
      <w:tr>
        <w:tc>
          <w:tcPr>
            <w:tcW w:type="dxa" w:w="2200"/>
            <w:shd w:fill="F5F5F5" w:val="clear"/>
            <w:tcMar>
              <w:top w:type="dxa" w:w="60"/>
              <w:left w:type="dxa" w:w="100"/>
              <w:bottom w:type="dxa" w:w="60"/>
              <w:right w:type="dxa" w:w="100"/>
            </w:tcMar>
          </w:tcPr>
          <w:p>
            <w:pPr>
              <w:jc w:val="left"/>
            </w:pPr>
            <w:r>
              <w:rPr>
                <w:b w:val="false"/>
                <w:bCs w:val="false"/>
                <w:color w:val="000000"/>
                <w:sz w:val="20"/>
                <w:szCs w:val="20"/>
              </w:rPr>
              <w:t xml:space="preserve">karats</w:t>
            </w:r>
          </w:p>
        </w:tc>
        <w:tc>
          <w:tcPr>
            <w:tcW w:type="dxa" w:w="6440"/>
            <w:shd w:fill="F5F5F5" w:val="clear"/>
            <w:tcMar>
              <w:top w:type="dxa" w:w="60"/>
              <w:left w:type="dxa" w:w="100"/>
              <w:bottom w:type="dxa" w:w="60"/>
              <w:right w:type="dxa" w:w="100"/>
            </w:tcMar>
          </w:tcPr>
          <w:p>
            <w:pPr>
              <w:jc w:val="left"/>
            </w:pPr>
            <w:r>
              <w:rPr>
                <w:b w:val="false"/>
                <w:bCs w:val="false"/>
                <w:color w:val="000000"/>
                <w:sz w:val="20"/>
                <w:szCs w:val="20"/>
              </w:rPr>
              <w:t xml:space="preserve">id, metal_type_id (FK), name (e.g. “22K”), purity_percentage (decimal), fineness (decimal), tolerance (decimal, nullable), is_active. Seed: 18K/21K/22K/24K for gold, 925/900/800 for silver, 950 for platinum.</w:t>
            </w:r>
          </w:p>
        </w:tc>
      </w:tr>
      <w:tr>
        <w:tc>
          <w:tcPr>
            <w:tcW w:type="dxa" w:w="2200"/>
            <w:tcMar>
              <w:top w:type="dxa" w:w="60"/>
              <w:left w:type="dxa" w:w="100"/>
              <w:bottom w:type="dxa" w:w="60"/>
              <w:right w:type="dxa" w:w="100"/>
            </w:tcMar>
          </w:tcPr>
          <w:p>
            <w:pPr>
              <w:jc w:val="left"/>
            </w:pPr>
            <w:r>
              <w:rPr>
                <w:b w:val="false"/>
                <w:bCs w:val="false"/>
                <w:color w:val="000000"/>
                <w:sz w:val="20"/>
                <w:szCs w:val="20"/>
              </w:rPr>
              <w:t xml:space="preserve">stone_types</w:t>
            </w:r>
          </w:p>
        </w:tc>
        <w:tc>
          <w:tcPr>
            <w:tcW w:type="dxa" w:w="6440"/>
            <w:tcMar>
              <w:top w:type="dxa" w:w="60"/>
              <w:left w:type="dxa" w:w="100"/>
              <w:bottom w:type="dxa" w:w="60"/>
              <w:right w:type="dxa" w:w="100"/>
            </w:tcMar>
          </w:tcPr>
          <w:p>
            <w:pPr>
              <w:jc w:val="left"/>
            </w:pPr>
            <w:r>
              <w:rPr>
                <w:b w:val="false"/>
                <w:bCs w:val="false"/>
                <w:color w:val="000000"/>
                <w:sz w:val="20"/>
                <w:szCs w:val="20"/>
              </w:rPr>
              <w:t xml:space="preserve">id, name, code, is_active. Seed: Diamond, Ruby, Emerald, Sapphire, Pearl, Topaz, Opal.</w:t>
            </w:r>
          </w:p>
        </w:tc>
      </w:tr>
    </w:tbl>
    <w:p>
      <w:pPr>
        <w:spacing w:after="120"/>
      </w:pPr>
      <w:r>
        <w:t xml:space="preserve">These are simple lookup tables so the item form, filters, and pricing engine all read from one shared source of truth instead of hard-coded lists in the UI — this is what the customization brief calls “freezing reference dictionaries” before building screens on top of them (Sprint 1, see §9).</w:t>
      </w:r>
    </w:p>
    <w:p>
      <w:pPr>
        <w:pStyle w:val="Heading3"/>
        <w:spacing w:after="100" w:before="200"/>
      </w:pPr>
      <w:r>
        <w:t xml:space="preserve">4.2 Extending the existing products table</w:t>
      </w:r>
    </w:p>
    <w:p>
      <w:pPr>
        <w:spacing w:after="120"/>
      </w:pPr>
      <w:r>
        <w:t xml:space="preserve">New columns, all prefixed jewelry_ to avoid any collision with the existing generic weight/length/width/height columns (which are shipping dimensions, not precious-metal weight, and must not be reused):</w:t>
      </w:r>
    </w:p>
    <w:tbl>
      <w:tblPr>
        <w:tblW w:type="dxa" w:w="88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040"/>
      </w:tblGrid>
      <w:tr>
        <w:trPr>
          <w:tblHeader/>
        </w:trPr>
        <w:tc>
          <w:tcPr>
            <w:tcW w:type="dxa" w:w="2600"/>
            <w:shd w:fill="1F3864" w:val="clear"/>
            <w:tcMar>
              <w:top w:type="dxa" w:w="60"/>
              <w:left w:type="dxa" w:w="100"/>
              <w:bottom w:type="dxa" w:w="60"/>
              <w:right w:type="dxa" w:w="100"/>
            </w:tcMar>
          </w:tcPr>
          <w:p>
            <w:pPr>
              <w:jc w:val="left"/>
            </w:pPr>
            <w:r>
              <w:rPr>
                <w:b/>
                <w:bCs/>
                <w:color w:val="FFFFFF"/>
                <w:sz w:val="20"/>
                <w:szCs w:val="20"/>
              </w:rPr>
              <w:t xml:space="preserve">Column</w:t>
            </w:r>
          </w:p>
        </w:tc>
        <w:tc>
          <w:tcPr>
            <w:tcW w:type="dxa" w:w="3200"/>
            <w:shd w:fill="1F3864" w:val="clear"/>
            <w:tcMar>
              <w:top w:type="dxa" w:w="60"/>
              <w:left w:type="dxa" w:w="100"/>
              <w:bottom w:type="dxa" w:w="60"/>
              <w:right w:type="dxa" w:w="100"/>
            </w:tcMar>
          </w:tcPr>
          <w:p>
            <w:pPr>
              <w:jc w:val="left"/>
            </w:pPr>
            <w:r>
              <w:rPr>
                <w:b/>
                <w:bCs/>
                <w:color w:val="FFFFFF"/>
                <w:sz w:val="20"/>
                <w:szCs w:val="20"/>
              </w:rPr>
              <w:t xml:space="preserve">Type</w:t>
            </w:r>
          </w:p>
        </w:tc>
        <w:tc>
          <w:tcPr>
            <w:tcW w:type="dxa" w:w="3040"/>
            <w:shd w:fill="1F3864" w:val="clear"/>
            <w:tcMar>
              <w:top w:type="dxa" w:w="60"/>
              <w:left w:type="dxa" w:w="100"/>
              <w:bottom w:type="dxa" w:w="60"/>
              <w:right w:type="dxa" w:w="100"/>
            </w:tcMar>
          </w:tcPr>
          <w:p>
            <w:pPr>
              <w:jc w:val="left"/>
            </w:pPr>
            <w:r>
              <w:rPr>
                <w:b/>
                <w:bCs/>
                <w:color w:val="FFFFFF"/>
                <w:sz w:val="20"/>
                <w:szCs w:val="20"/>
              </w:rPr>
              <w:t xml:space="preserve">Notes</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is_jewelry_item</w:t>
            </w:r>
          </w:p>
        </w:tc>
        <w:tc>
          <w:tcPr>
            <w:tcW w:type="dxa" w:w="3200"/>
            <w:tcMar>
              <w:top w:type="dxa" w:w="60"/>
              <w:left w:type="dxa" w:w="100"/>
              <w:bottom w:type="dxa" w:w="60"/>
              <w:right w:type="dxa" w:w="100"/>
            </w:tcMar>
          </w:tcPr>
          <w:p>
            <w:pPr>
              <w:jc w:val="left"/>
            </w:pPr>
            <w:r>
              <w:rPr>
                <w:b w:val="false"/>
                <w:bCs w:val="false"/>
                <w:color w:val="000000"/>
                <w:sz w:val="20"/>
                <w:szCs w:val="20"/>
              </w:rPr>
              <w:t xml:space="preserve">boolean, default false</w:t>
            </w:r>
          </w:p>
        </w:tc>
        <w:tc>
          <w:tcPr>
            <w:tcW w:type="dxa" w:w="3040"/>
            <w:tcMar>
              <w:top w:type="dxa" w:w="60"/>
              <w:left w:type="dxa" w:w="100"/>
              <w:bottom w:type="dxa" w:w="60"/>
              <w:right w:type="dxa" w:w="100"/>
            </w:tcMar>
          </w:tcPr>
          <w:p>
            <w:pPr>
              <w:jc w:val="left"/>
            </w:pPr>
            <w:r>
              <w:rPr>
                <w:b w:val="false"/>
                <w:bCs w:val="false"/>
                <w:color w:val="000000"/>
                <w:sz w:val="20"/>
                <w:szCs w:val="20"/>
              </w:rPr>
              <w:t xml:space="preserve">Master switch — every jewelry code path checks this AND the tenant's jewelry_mode setting.</w:t>
            </w:r>
          </w:p>
        </w:tc>
      </w:tr>
      <w:tr>
        <w:tc>
          <w:tcPr>
            <w:tcW w:type="dxa" w:w="2600"/>
            <w:shd w:fill="F5F5F5" w:val="clear"/>
            <w:tcMar>
              <w:top w:type="dxa" w:w="60"/>
              <w:left w:type="dxa" w:w="100"/>
              <w:bottom w:type="dxa" w:w="60"/>
              <w:right w:type="dxa" w:w="100"/>
            </w:tcMar>
          </w:tcPr>
          <w:p>
            <w:pPr>
              <w:jc w:val="left"/>
            </w:pPr>
            <w:r>
              <w:rPr>
                <w:b w:val="false"/>
                <w:bCs w:val="false"/>
                <w:color w:val="000000"/>
                <w:sz w:val="20"/>
                <w:szCs w:val="20"/>
              </w:rPr>
              <w:t xml:space="preserve">jewelry_item_type</w:t>
            </w:r>
          </w:p>
        </w:tc>
        <w:tc>
          <w:tcPr>
            <w:tcW w:type="dxa" w:w="3200"/>
            <w:shd w:fill="F5F5F5" w:val="clear"/>
            <w:tcMar>
              <w:top w:type="dxa" w:w="60"/>
              <w:left w:type="dxa" w:w="100"/>
              <w:bottom w:type="dxa" w:w="60"/>
              <w:right w:type="dxa" w:w="100"/>
            </w:tcMar>
          </w:tcPr>
          <w:p>
            <w:pPr>
              <w:jc w:val="left"/>
            </w:pPr>
            <w:r>
              <w:rPr>
                <w:b w:val="false"/>
                <w:bCs w:val="false"/>
                <w:color w:val="000000"/>
                <w:sz w:val="20"/>
                <w:szCs w:val="20"/>
              </w:rPr>
              <w:t xml:space="preserve">enum: serialized, weighted, style, set, service, non_stock</w:t>
            </w:r>
          </w:p>
        </w:tc>
        <w:tc>
          <w:tcPr>
            <w:tcW w:type="dxa" w:w="3040"/>
            <w:shd w:fill="F5F5F5" w:val="clear"/>
            <w:tcMar>
              <w:top w:type="dxa" w:w="60"/>
              <w:left w:type="dxa" w:w="100"/>
              <w:bottom w:type="dxa" w:w="60"/>
              <w:right w:type="dxa" w:w="100"/>
            </w:tcMar>
          </w:tcPr>
          <w:p>
            <w:pPr>
              <w:jc w:val="left"/>
            </w:pPr>
            <w:r>
              <w:rPr>
                <w:b w:val="false"/>
                <w:bCs w:val="false"/>
                <w:color w:val="000000"/>
                <w:sz w:val="20"/>
                <w:szCs w:val="20"/>
              </w:rPr>
              <w:t xml:space="preserve">Drives which inventory tracking applies (§5.4) and which form sections are required.</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metal_type_id</w:t>
            </w:r>
          </w:p>
        </w:tc>
        <w:tc>
          <w:tcPr>
            <w:tcW w:type="dxa" w:w="3200"/>
            <w:tcMar>
              <w:top w:type="dxa" w:w="60"/>
              <w:left w:type="dxa" w:w="100"/>
              <w:bottom w:type="dxa" w:w="60"/>
              <w:right w:type="dxa" w:w="100"/>
            </w:tcMar>
          </w:tcPr>
          <w:p>
            <w:pPr>
              <w:jc w:val="left"/>
            </w:pPr>
            <w:r>
              <w:rPr>
                <w:b w:val="false"/>
                <w:bCs w:val="false"/>
                <w:color w:val="000000"/>
                <w:sz w:val="20"/>
                <w:szCs w:val="20"/>
              </w:rPr>
              <w:t xml:space="preserve">FK → metal_types, nullable</w:t>
            </w:r>
          </w:p>
        </w:tc>
        <w:tc>
          <w:tcPr>
            <w:tcW w:type="dxa" w:w="3040"/>
            <w:tcMar>
              <w:top w:type="dxa" w:w="60"/>
              <w:left w:type="dxa" w:w="100"/>
              <w:bottom w:type="dxa" w:w="60"/>
              <w:right w:type="dxa" w:w="100"/>
            </w:tcMar>
          </w:tcPr>
          <w:p>
            <w:pPr>
              <w:jc w:val="left"/>
            </w:pPr>
            <w:r>
              <w:rPr>
                <w:b w:val="false"/>
                <w:bCs w:val="false"/>
                <w:color w:val="000000"/>
                <w:sz w:val="20"/>
                <w:szCs w:val="20"/>
              </w:rPr>
              <w:t xml:space="preserve"/>
            </w:r>
          </w:p>
        </w:tc>
      </w:tr>
      <w:tr>
        <w:tc>
          <w:tcPr>
            <w:tcW w:type="dxa" w:w="2600"/>
            <w:shd w:fill="F5F5F5" w:val="clear"/>
            <w:tcMar>
              <w:top w:type="dxa" w:w="60"/>
              <w:left w:type="dxa" w:w="100"/>
              <w:bottom w:type="dxa" w:w="60"/>
              <w:right w:type="dxa" w:w="100"/>
            </w:tcMar>
          </w:tcPr>
          <w:p>
            <w:pPr>
              <w:jc w:val="left"/>
            </w:pPr>
            <w:r>
              <w:rPr>
                <w:b w:val="false"/>
                <w:bCs w:val="false"/>
                <w:color w:val="000000"/>
                <w:sz w:val="20"/>
                <w:szCs w:val="20"/>
              </w:rPr>
              <w:t xml:space="preserve">karat_id</w:t>
            </w:r>
          </w:p>
        </w:tc>
        <w:tc>
          <w:tcPr>
            <w:tcW w:type="dxa" w:w="3200"/>
            <w:shd w:fill="F5F5F5" w:val="clear"/>
            <w:tcMar>
              <w:top w:type="dxa" w:w="60"/>
              <w:left w:type="dxa" w:w="100"/>
              <w:bottom w:type="dxa" w:w="60"/>
              <w:right w:type="dxa" w:w="100"/>
            </w:tcMar>
          </w:tcPr>
          <w:p>
            <w:pPr>
              <w:jc w:val="left"/>
            </w:pPr>
            <w:r>
              <w:rPr>
                <w:b w:val="false"/>
                <w:bCs w:val="false"/>
                <w:color w:val="000000"/>
                <w:sz w:val="20"/>
                <w:szCs w:val="20"/>
              </w:rPr>
              <w:t xml:space="preserve">FK → karats, nullable</w:t>
            </w:r>
          </w:p>
        </w:tc>
        <w:tc>
          <w:tcPr>
            <w:tcW w:type="dxa" w:w="3040"/>
            <w:shd w:fill="F5F5F5"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jewelry_gross_weight</w:t>
            </w:r>
          </w:p>
        </w:tc>
        <w:tc>
          <w:tcPr>
            <w:tcW w:type="dxa" w:w="3200"/>
            <w:tcMar>
              <w:top w:type="dxa" w:w="60"/>
              <w:left w:type="dxa" w:w="100"/>
              <w:bottom w:type="dxa" w:w="60"/>
              <w:right w:type="dxa" w:w="100"/>
            </w:tcMar>
          </w:tcPr>
          <w:p>
            <w:pPr>
              <w:jc w:val="left"/>
            </w:pPr>
            <w:r>
              <w:rPr>
                <w:b w:val="false"/>
                <w:bCs w:val="false"/>
                <w:color w:val="000000"/>
                <w:sz w:val="20"/>
                <w:szCs w:val="20"/>
              </w:rPr>
              <w:t xml:space="preserve">decimal(12,3), nullable</w:t>
            </w:r>
          </w:p>
        </w:tc>
        <w:tc>
          <w:tcPr>
            <w:tcW w:type="dxa" w:w="3040"/>
            <w:tcMar>
              <w:top w:type="dxa" w:w="60"/>
              <w:left w:type="dxa" w:w="100"/>
              <w:bottom w:type="dxa" w:w="60"/>
              <w:right w:type="dxa" w:w="100"/>
            </w:tcMar>
          </w:tcPr>
          <w:p>
            <w:pPr>
              <w:jc w:val="left"/>
            </w:pPr>
            <w:r>
              <w:rPr>
                <w:b w:val="false"/>
                <w:bCs w:val="false"/>
                <w:color w:val="000000"/>
                <w:sz w:val="20"/>
                <w:szCs w:val="20"/>
              </w:rPr>
              <w:t xml:space="preserve">Total weight including stones/components.</w:t>
            </w:r>
          </w:p>
        </w:tc>
      </w:tr>
      <w:tr>
        <w:tc>
          <w:tcPr>
            <w:tcW w:type="dxa" w:w="2600"/>
            <w:shd w:fill="F5F5F5" w:val="clear"/>
            <w:tcMar>
              <w:top w:type="dxa" w:w="60"/>
              <w:left w:type="dxa" w:w="100"/>
              <w:bottom w:type="dxa" w:w="60"/>
              <w:right w:type="dxa" w:w="100"/>
            </w:tcMar>
          </w:tcPr>
          <w:p>
            <w:pPr>
              <w:jc w:val="left"/>
            </w:pPr>
            <w:r>
              <w:rPr>
                <w:b w:val="false"/>
                <w:bCs w:val="false"/>
                <w:color w:val="000000"/>
                <w:sz w:val="20"/>
                <w:szCs w:val="20"/>
              </w:rPr>
              <w:t xml:space="preserve">jewelry_net_weight</w:t>
            </w:r>
          </w:p>
        </w:tc>
        <w:tc>
          <w:tcPr>
            <w:tcW w:type="dxa" w:w="3200"/>
            <w:shd w:fill="F5F5F5" w:val="clear"/>
            <w:tcMar>
              <w:top w:type="dxa" w:w="60"/>
              <w:left w:type="dxa" w:w="100"/>
              <w:bottom w:type="dxa" w:w="60"/>
              <w:right w:type="dxa" w:w="100"/>
            </w:tcMar>
          </w:tcPr>
          <w:p>
            <w:pPr>
              <w:jc w:val="left"/>
            </w:pPr>
            <w:r>
              <w:rPr>
                <w:b w:val="false"/>
                <w:bCs w:val="false"/>
                <w:color w:val="000000"/>
                <w:sz w:val="20"/>
                <w:szCs w:val="20"/>
              </w:rPr>
              <w:t xml:space="preserve">decimal(12,3), nullable</w:t>
            </w:r>
          </w:p>
        </w:tc>
        <w:tc>
          <w:tcPr>
            <w:tcW w:type="dxa" w:w="3040"/>
            <w:shd w:fill="F5F5F5" w:val="clear"/>
            <w:tcMar>
              <w:top w:type="dxa" w:w="60"/>
              <w:left w:type="dxa" w:w="100"/>
              <w:bottom w:type="dxa" w:w="60"/>
              <w:right w:type="dxa" w:w="100"/>
            </w:tcMar>
          </w:tcPr>
          <w:p>
            <w:pPr>
              <w:jc w:val="left"/>
            </w:pPr>
            <w:r>
              <w:rPr>
                <w:b w:val="false"/>
                <w:bCs w:val="false"/>
                <w:color w:val="000000"/>
                <w:sz w:val="20"/>
                <w:szCs w:val="20"/>
              </w:rPr>
              <w:t xml:space="preserve">Gross minus non-metal components.</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jewelry_metal_weight</w:t>
            </w:r>
          </w:p>
        </w:tc>
        <w:tc>
          <w:tcPr>
            <w:tcW w:type="dxa" w:w="3200"/>
            <w:tcMar>
              <w:top w:type="dxa" w:w="60"/>
              <w:left w:type="dxa" w:w="100"/>
              <w:bottom w:type="dxa" w:w="60"/>
              <w:right w:type="dxa" w:w="100"/>
            </w:tcMar>
          </w:tcPr>
          <w:p>
            <w:pPr>
              <w:jc w:val="left"/>
            </w:pPr>
            <w:r>
              <w:rPr>
                <w:b w:val="false"/>
                <w:bCs w:val="false"/>
                <w:color w:val="000000"/>
                <w:sz w:val="20"/>
                <w:szCs w:val="20"/>
              </w:rPr>
              <w:t xml:space="preserve">decimal(12,3), nullable</w:t>
            </w:r>
          </w:p>
        </w:tc>
        <w:tc>
          <w:tcPr>
            <w:tcW w:type="dxa" w:w="3040"/>
            <w:tcMar>
              <w:top w:type="dxa" w:w="60"/>
              <w:left w:type="dxa" w:w="100"/>
              <w:bottom w:type="dxa" w:w="60"/>
              <w:right w:type="dxa" w:w="100"/>
            </w:tcMar>
          </w:tcPr>
          <w:p>
            <w:pPr>
              <w:jc w:val="left"/>
            </w:pPr>
            <w:r>
              <w:rPr>
                <w:b w:val="false"/>
                <w:bCs w:val="false"/>
                <w:color w:val="000000"/>
                <w:sz w:val="20"/>
                <w:szCs w:val="20"/>
              </w:rPr>
              <w:t xml:space="preserve">Metal-only weight actually priced by the gold rate.</w:t>
            </w:r>
          </w:p>
        </w:tc>
      </w:tr>
      <w:tr>
        <w:tc>
          <w:tcPr>
            <w:tcW w:type="dxa" w:w="2600"/>
            <w:shd w:fill="F5F5F5" w:val="clear"/>
            <w:tcMar>
              <w:top w:type="dxa" w:w="60"/>
              <w:left w:type="dxa" w:w="100"/>
              <w:bottom w:type="dxa" w:w="60"/>
              <w:right w:type="dxa" w:w="100"/>
            </w:tcMar>
          </w:tcPr>
          <w:p>
            <w:pPr>
              <w:jc w:val="left"/>
            </w:pPr>
            <w:r>
              <w:rPr>
                <w:b w:val="false"/>
                <w:bCs w:val="false"/>
                <w:color w:val="000000"/>
                <w:sz w:val="20"/>
                <w:szCs w:val="20"/>
              </w:rPr>
              <w:t xml:space="preserve">jewelry_weight_uom</w:t>
            </w:r>
          </w:p>
        </w:tc>
        <w:tc>
          <w:tcPr>
            <w:tcW w:type="dxa" w:w="3200"/>
            <w:shd w:fill="F5F5F5" w:val="clear"/>
            <w:tcMar>
              <w:top w:type="dxa" w:w="60"/>
              <w:left w:type="dxa" w:w="100"/>
              <w:bottom w:type="dxa" w:w="60"/>
              <w:right w:type="dxa" w:w="100"/>
            </w:tcMar>
          </w:tcPr>
          <w:p>
            <w:pPr>
              <w:jc w:val="left"/>
            </w:pPr>
            <w:r>
              <w:rPr>
                <w:b w:val="false"/>
                <w:bCs w:val="false"/>
                <w:color w:val="000000"/>
                <w:sz w:val="20"/>
                <w:szCs w:val="20"/>
              </w:rPr>
              <w:t xml:space="preserve">string, default 'g'</w:t>
            </w:r>
          </w:p>
        </w:tc>
        <w:tc>
          <w:tcPr>
            <w:tcW w:type="dxa" w:w="3040"/>
            <w:shd w:fill="F5F5F5"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hallmark_reference</w:t>
            </w:r>
          </w:p>
        </w:tc>
        <w:tc>
          <w:tcPr>
            <w:tcW w:type="dxa" w:w="3200"/>
            <w:tcMar>
              <w:top w:type="dxa" w:w="60"/>
              <w:left w:type="dxa" w:w="100"/>
              <w:bottom w:type="dxa" w:w="60"/>
              <w:right w:type="dxa" w:w="100"/>
            </w:tcMar>
          </w:tcPr>
          <w:p>
            <w:pPr>
              <w:jc w:val="left"/>
            </w:pPr>
            <w:r>
              <w:rPr>
                <w:b w:val="false"/>
                <w:bCs w:val="false"/>
                <w:color w:val="000000"/>
                <w:sz w:val="20"/>
                <w:szCs w:val="20"/>
              </w:rPr>
              <w:t xml:space="preserve">string, nullable</w:t>
            </w:r>
          </w:p>
        </w:tc>
        <w:tc>
          <w:tcPr>
            <w:tcW w:type="dxa" w:w="3040"/>
            <w:tcMar>
              <w:top w:type="dxa" w:w="60"/>
              <w:left w:type="dxa" w:w="100"/>
              <w:bottom w:type="dxa" w:w="60"/>
              <w:right w:type="dxa" w:w="100"/>
            </w:tcMar>
          </w:tcPr>
          <w:p>
            <w:pPr>
              <w:jc w:val="left"/>
            </w:pPr>
            <w:r>
              <w:rPr>
                <w:b w:val="false"/>
                <w:bCs w:val="false"/>
                <w:color w:val="000000"/>
                <w:sz w:val="20"/>
                <w:szCs w:val="20"/>
              </w:rPr>
              <w:t xml:space="preserve"/>
            </w:r>
          </w:p>
        </w:tc>
      </w:tr>
      <w:tr>
        <w:tc>
          <w:tcPr>
            <w:tcW w:type="dxa" w:w="2600"/>
            <w:shd w:fill="F5F5F5" w:val="clear"/>
            <w:tcMar>
              <w:top w:type="dxa" w:w="60"/>
              <w:left w:type="dxa" w:w="100"/>
              <w:bottom w:type="dxa" w:w="60"/>
              <w:right w:type="dxa" w:w="100"/>
            </w:tcMar>
          </w:tcPr>
          <w:p>
            <w:pPr>
              <w:jc w:val="left"/>
            </w:pPr>
            <w:r>
              <w:rPr>
                <w:b w:val="false"/>
                <w:bCs w:val="false"/>
                <w:color w:val="000000"/>
                <w:sz w:val="20"/>
                <w:szCs w:val="20"/>
              </w:rPr>
              <w:t xml:space="preserve">certificate_number</w:t>
            </w:r>
          </w:p>
        </w:tc>
        <w:tc>
          <w:tcPr>
            <w:tcW w:type="dxa" w:w="3200"/>
            <w:shd w:fill="F5F5F5" w:val="clear"/>
            <w:tcMar>
              <w:top w:type="dxa" w:w="60"/>
              <w:left w:type="dxa" w:w="100"/>
              <w:bottom w:type="dxa" w:w="60"/>
              <w:right w:type="dxa" w:w="100"/>
            </w:tcMar>
          </w:tcPr>
          <w:p>
            <w:pPr>
              <w:jc w:val="left"/>
            </w:pPr>
            <w:r>
              <w:rPr>
                <w:b w:val="false"/>
                <w:bCs w:val="false"/>
                <w:color w:val="000000"/>
                <w:sz w:val="20"/>
                <w:szCs w:val="20"/>
              </w:rPr>
              <w:t xml:space="preserve">string, nullable</w:t>
            </w:r>
          </w:p>
        </w:tc>
        <w:tc>
          <w:tcPr>
            <w:tcW w:type="dxa" w:w="3040"/>
            <w:shd w:fill="F5F5F5"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making_charge_type</w:t>
            </w:r>
          </w:p>
        </w:tc>
        <w:tc>
          <w:tcPr>
            <w:tcW w:type="dxa" w:w="3200"/>
            <w:tcMar>
              <w:top w:type="dxa" w:w="60"/>
              <w:left w:type="dxa" w:w="100"/>
              <w:bottom w:type="dxa" w:w="60"/>
              <w:right w:type="dxa" w:w="100"/>
            </w:tcMar>
          </w:tcPr>
          <w:p>
            <w:pPr>
              <w:jc w:val="left"/>
            </w:pPr>
            <w:r>
              <w:rPr>
                <w:b w:val="false"/>
                <w:bCs w:val="false"/>
                <w:color w:val="000000"/>
                <w:sz w:val="20"/>
                <w:szCs w:val="20"/>
              </w:rPr>
              <w:t xml:space="preserve">enum: fixed, per_gram, percentage, manual, formula</w:t>
            </w:r>
          </w:p>
        </w:tc>
        <w:tc>
          <w:tcPr>
            <w:tcW w:type="dxa" w:w="3040"/>
            <w:tcMar>
              <w:top w:type="dxa" w:w="60"/>
              <w:left w:type="dxa" w:w="100"/>
              <w:bottom w:type="dxa" w:w="60"/>
              <w:right w:type="dxa" w:w="100"/>
            </w:tcMar>
          </w:tcPr>
          <w:p>
            <w:pPr>
              <w:jc w:val="left"/>
            </w:pPr>
            <w:r>
              <w:rPr>
                <w:b w:val="false"/>
                <w:bCs w:val="false"/>
                <w:color w:val="000000"/>
                <w:sz w:val="20"/>
                <w:szCs w:val="20"/>
              </w:rPr>
              <w:t xml:space="preserve">See pricing engine, §5.3.</w:t>
            </w:r>
          </w:p>
        </w:tc>
      </w:tr>
      <w:tr>
        <w:tc>
          <w:tcPr>
            <w:tcW w:type="dxa" w:w="2600"/>
            <w:shd w:fill="F5F5F5" w:val="clear"/>
            <w:tcMar>
              <w:top w:type="dxa" w:w="60"/>
              <w:left w:type="dxa" w:w="100"/>
              <w:bottom w:type="dxa" w:w="60"/>
              <w:right w:type="dxa" w:w="100"/>
            </w:tcMar>
          </w:tcPr>
          <w:p>
            <w:pPr>
              <w:jc w:val="left"/>
            </w:pPr>
            <w:r>
              <w:rPr>
                <w:b w:val="false"/>
                <w:bCs w:val="false"/>
                <w:color w:val="000000"/>
                <w:sz w:val="20"/>
                <w:szCs w:val="20"/>
              </w:rPr>
              <w:t xml:space="preserve">making_charge_value</w:t>
            </w:r>
          </w:p>
        </w:tc>
        <w:tc>
          <w:tcPr>
            <w:tcW w:type="dxa" w:w="3200"/>
            <w:shd w:fill="F5F5F5" w:val="clear"/>
            <w:tcMar>
              <w:top w:type="dxa" w:w="60"/>
              <w:left w:type="dxa" w:w="100"/>
              <w:bottom w:type="dxa" w:w="60"/>
              <w:right w:type="dxa" w:w="100"/>
            </w:tcMar>
          </w:tcPr>
          <w:p>
            <w:pPr>
              <w:jc w:val="left"/>
            </w:pPr>
            <w:r>
              <w:rPr>
                <w:b w:val="false"/>
                <w:bCs w:val="false"/>
                <w:color w:val="000000"/>
                <w:sz w:val="20"/>
                <w:szCs w:val="20"/>
              </w:rPr>
              <w:t xml:space="preserve">decimal(12,2), nullable</w:t>
            </w:r>
          </w:p>
        </w:tc>
        <w:tc>
          <w:tcPr>
            <w:tcW w:type="dxa" w:w="3040"/>
            <w:shd w:fill="F5F5F5" w:val="clear"/>
            <w:tcMar>
              <w:top w:type="dxa" w:w="60"/>
              <w:left w:type="dxa" w:w="100"/>
              <w:bottom w:type="dxa" w:w="60"/>
              <w:right w:type="dxa" w:w="100"/>
            </w:tcMar>
          </w:tcPr>
          <w:p>
            <w:pPr>
              <w:jc w:val="left"/>
            </w:pPr>
            <w:r>
              <w:rPr>
                <w:b w:val="false"/>
                <w:bCs w:val="false"/>
                <w:color w:val="000000"/>
                <w:sz w:val="20"/>
                <w:szCs w:val="20"/>
              </w:rPr>
              <w:t xml:space="preserve"/>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wastage_type</w:t>
            </w:r>
          </w:p>
        </w:tc>
        <w:tc>
          <w:tcPr>
            <w:tcW w:type="dxa" w:w="3200"/>
            <w:tcMar>
              <w:top w:type="dxa" w:w="60"/>
              <w:left w:type="dxa" w:w="100"/>
              <w:bottom w:type="dxa" w:w="60"/>
              <w:right w:type="dxa" w:w="100"/>
            </w:tcMar>
          </w:tcPr>
          <w:p>
            <w:pPr>
              <w:jc w:val="left"/>
            </w:pPr>
            <w:r>
              <w:rPr>
                <w:b w:val="false"/>
                <w:bCs w:val="false"/>
                <w:color w:val="000000"/>
                <w:sz w:val="20"/>
                <w:szCs w:val="20"/>
              </w:rPr>
              <w:t xml:space="preserve">enum: percentage_of_weight, percentage_of_value, fixed_value</w:t>
            </w:r>
          </w:p>
        </w:tc>
        <w:tc>
          <w:tcPr>
            <w:tcW w:type="dxa" w:w="3040"/>
            <w:tcMar>
              <w:top w:type="dxa" w:w="60"/>
              <w:left w:type="dxa" w:w="100"/>
              <w:bottom w:type="dxa" w:w="60"/>
              <w:right w:type="dxa" w:w="100"/>
            </w:tcMar>
          </w:tcPr>
          <w:p>
            <w:pPr>
              <w:jc w:val="left"/>
            </w:pPr>
            <w:r>
              <w:rPr>
                <w:b w:val="false"/>
                <w:bCs w:val="false"/>
                <w:color w:val="000000"/>
                <w:sz w:val="20"/>
                <w:szCs w:val="20"/>
              </w:rPr>
              <w:t xml:space="preserve"/>
            </w:r>
          </w:p>
        </w:tc>
      </w:tr>
      <w:tr>
        <w:tc>
          <w:tcPr>
            <w:tcW w:type="dxa" w:w="2600"/>
            <w:shd w:fill="F5F5F5" w:val="clear"/>
            <w:tcMar>
              <w:top w:type="dxa" w:w="60"/>
              <w:left w:type="dxa" w:w="100"/>
              <w:bottom w:type="dxa" w:w="60"/>
              <w:right w:type="dxa" w:w="100"/>
            </w:tcMar>
          </w:tcPr>
          <w:p>
            <w:pPr>
              <w:jc w:val="left"/>
            </w:pPr>
            <w:r>
              <w:rPr>
                <w:b w:val="false"/>
                <w:bCs w:val="false"/>
                <w:color w:val="000000"/>
                <w:sz w:val="20"/>
                <w:szCs w:val="20"/>
              </w:rPr>
              <w:t xml:space="preserve">wastage_value</w:t>
            </w:r>
          </w:p>
        </w:tc>
        <w:tc>
          <w:tcPr>
            <w:tcW w:type="dxa" w:w="3200"/>
            <w:shd w:fill="F5F5F5" w:val="clear"/>
            <w:tcMar>
              <w:top w:type="dxa" w:w="60"/>
              <w:left w:type="dxa" w:w="100"/>
              <w:bottom w:type="dxa" w:w="60"/>
              <w:right w:type="dxa" w:w="100"/>
            </w:tcMar>
          </w:tcPr>
          <w:p>
            <w:pPr>
              <w:jc w:val="left"/>
            </w:pPr>
            <w:r>
              <w:rPr>
                <w:b w:val="false"/>
                <w:bCs w:val="false"/>
                <w:color w:val="000000"/>
                <w:sz w:val="20"/>
                <w:szCs w:val="20"/>
              </w:rPr>
              <w:t xml:space="preserve">decimal(12,3), nullable</w:t>
            </w:r>
          </w:p>
        </w:tc>
        <w:tc>
          <w:tcPr>
            <w:tcW w:type="dxa" w:w="3040"/>
            <w:shd w:fill="F5F5F5" w:val="clear"/>
            <w:tcMar>
              <w:top w:type="dxa" w:w="60"/>
              <w:left w:type="dxa" w:w="100"/>
              <w:bottom w:type="dxa" w:w="60"/>
              <w:right w:type="dxa" w:w="100"/>
            </w:tcMar>
          </w:tcPr>
          <w:p>
            <w:pPr>
              <w:jc w:val="left"/>
            </w:pPr>
            <w:r>
              <w:rPr>
                <w:b w:val="false"/>
                <w:bCs w:val="false"/>
                <w:color w:val="000000"/>
                <w:sz w:val="20"/>
                <w:szCs w:val="20"/>
              </w:rPr>
              <w:t xml:space="preserve"/>
            </w:r>
          </w:p>
        </w:tc>
      </w:tr>
    </w:tbl>
    <w:p>
      <w:pPr>
        <w:spacing w:after="120"/>
      </w:pPr>
      <w:r>
        <w:t xml:space="preserve">Validation rules to enforce in the FormRequest (per the customization brief, §3.3): weights cannot be negative; jewelry_metal_weight cannot exceed jewelry_gross_weight; karat_id is required whenever the selected metal_type requires purity (i.e., always, for gold); a weighted item must have a weight; item codes stay unique per tenant (already true — enforced at the database level today, since each tenant has its own database).</w:t>
      </w:r>
    </w:p>
    <w:p>
      <w:pPr>
        <w:pStyle w:val="Heading3"/>
        <w:spacing w:after="100" w:before="200"/>
      </w:pPr>
      <w:r>
        <w:t xml:space="preserve">4.3 Stones (item_stones)</w:t>
      </w:r>
    </w:p>
    <w:p>
      <w:pPr>
        <w:spacing w:after="120"/>
      </w:pPr>
      <w:r>
        <w:t xml:space="preserve">A new companion table rather than more columns on products, because an item can have several stones of different types: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6440"/>
      </w:tblGrid>
      <w:tr>
        <w:trPr>
          <w:tblHeader/>
        </w:trPr>
        <w:tc>
          <w:tcPr>
            <w:tcW w:type="dxa" w:w="2200"/>
            <w:shd w:fill="1F3864" w:val="clear"/>
            <w:tcMar>
              <w:top w:type="dxa" w:w="60"/>
              <w:left w:type="dxa" w:w="100"/>
              <w:bottom w:type="dxa" w:w="60"/>
              <w:right w:type="dxa" w:w="100"/>
            </w:tcMar>
          </w:tcPr>
          <w:p>
            <w:pPr>
              <w:jc w:val="left"/>
            </w:pPr>
            <w:r>
              <w:rPr>
                <w:b/>
                <w:bCs/>
                <w:color w:val="FFFFFF"/>
                <w:sz w:val="20"/>
                <w:szCs w:val="20"/>
              </w:rPr>
              <w:t xml:space="preserve">Column</w:t>
            </w:r>
          </w:p>
        </w:tc>
        <w:tc>
          <w:tcPr>
            <w:tcW w:type="dxa" w:w="6440"/>
            <w:shd w:fill="1F3864" w:val="clear"/>
            <w:tcMar>
              <w:top w:type="dxa" w:w="60"/>
              <w:left w:type="dxa" w:w="100"/>
              <w:bottom w:type="dxa" w:w="60"/>
              <w:right w:type="dxa" w:w="100"/>
            </w:tcMar>
          </w:tcPr>
          <w:p>
            <w:pPr>
              <w:jc w:val="left"/>
            </w:pPr>
            <w:r>
              <w:rPr>
                <w:b/>
                <w:bCs/>
                <w:color w:val="FFFFFF"/>
                <w:sz w:val="20"/>
                <w:szCs w:val="20"/>
              </w:rPr>
              <w:t xml:space="preserve">Notes</w:t>
            </w:r>
          </w:p>
        </w:tc>
      </w:tr>
      <w:tr>
        <w:tc>
          <w:tcPr>
            <w:tcW w:type="dxa" w:w="2200"/>
            <w:tcMar>
              <w:top w:type="dxa" w:w="60"/>
              <w:left w:type="dxa" w:w="100"/>
              <w:bottom w:type="dxa" w:w="60"/>
              <w:right w:type="dxa" w:w="100"/>
            </w:tcMar>
          </w:tcPr>
          <w:p>
            <w:pPr>
              <w:jc w:val="left"/>
            </w:pPr>
            <w:r>
              <w:rPr>
                <w:b w:val="false"/>
                <w:bCs w:val="false"/>
                <w:color w:val="000000"/>
                <w:sz w:val="20"/>
                <w:szCs w:val="20"/>
              </w:rPr>
              <w:t xml:space="preserve">item_stones table</w:t>
            </w:r>
          </w:p>
        </w:tc>
        <w:tc>
          <w:tcPr>
            <w:tcW w:type="dxa" w:w="6440"/>
            <w:tcMar>
              <w:top w:type="dxa" w:w="60"/>
              <w:left w:type="dxa" w:w="100"/>
              <w:bottom w:type="dxa" w:w="60"/>
              <w:right w:type="dxa" w:w="100"/>
            </w:tcMar>
          </w:tcPr>
          <w:p>
            <w:pPr>
              <w:jc w:val="left"/>
            </w:pPr>
            <w:r>
              <w:rPr>
                <w:b w:val="false"/>
                <w:bCs w:val="false"/>
                <w:color w:val="000000"/>
                <w:sz w:val="20"/>
                <w:szCs w:val="20"/>
              </w:rPr>
              <w:t xml:space="preserve">id, product_id (FK), stone_type_id (FK), stone_name, quantity, carat_value (decimal), color, clarity, cut, shape, certificate_number, unit_cost_amount (decimal), total_cost_amount (decimal), notes, timestamps.</w:t>
            </w:r>
          </w:p>
        </w:tc>
      </w:tr>
    </w:tbl>
    <w:p>
      <w:pPr>
        <w:spacing w:after="120"/>
      </w:pPr>
      <w:r>
        <w:t xml:space="preserve">total_cost_amount across all of an item's stones is what the pricing engine reads as “stone value” (§5.3).</w:t>
      </w:r>
    </w:p>
    <w:p>
      <w:pPr>
        <w:pStyle w:val="Heading3"/>
        <w:spacing w:after="100" w:before="200"/>
      </w:pPr>
      <w:r>
        <w:t xml:space="preserve">4.4 Gold rates (gold_rates)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6040"/>
      </w:tblGrid>
      <w:tr>
        <w:trPr>
          <w:tblHeader/>
        </w:trPr>
        <w:tc>
          <w:tcPr>
            <w:tcW w:type="dxa" w:w="2600"/>
            <w:shd w:fill="1F3864" w:val="clear"/>
            <w:tcMar>
              <w:top w:type="dxa" w:w="60"/>
              <w:left w:type="dxa" w:w="100"/>
              <w:bottom w:type="dxa" w:w="60"/>
              <w:right w:type="dxa" w:w="100"/>
            </w:tcMar>
          </w:tcPr>
          <w:p>
            <w:pPr>
              <w:jc w:val="left"/>
            </w:pPr>
            <w:r>
              <w:rPr>
                <w:b/>
                <w:bCs/>
                <w:color w:val="FFFFFF"/>
                <w:sz w:val="20"/>
                <w:szCs w:val="20"/>
              </w:rPr>
              <w:t xml:space="preserve">Column</w:t>
            </w:r>
          </w:p>
        </w:tc>
        <w:tc>
          <w:tcPr>
            <w:tcW w:type="dxa" w:w="6040"/>
            <w:shd w:fill="1F3864" w:val="clear"/>
            <w:tcMar>
              <w:top w:type="dxa" w:w="60"/>
              <w:left w:type="dxa" w:w="100"/>
              <w:bottom w:type="dxa" w:w="60"/>
              <w:right w:type="dxa" w:w="100"/>
            </w:tcMar>
          </w:tcPr>
          <w:p>
            <w:pPr>
              <w:jc w:val="left"/>
            </w:pPr>
            <w:r>
              <w:rPr>
                <w:b/>
                <w:bCs/>
                <w:color w:val="FFFFFF"/>
                <w:sz w:val="20"/>
                <w:szCs w:val="20"/>
              </w:rPr>
              <w:t xml:space="preserve">Notes</w:t>
            </w:r>
          </w:p>
        </w:tc>
      </w:tr>
      <w:tr>
        <w:tc>
          <w:tcPr>
            <w:tcW w:type="dxa" w:w="2600"/>
            <w:tcMar>
              <w:top w:type="dxa" w:w="60"/>
              <w:left w:type="dxa" w:w="100"/>
              <w:bottom w:type="dxa" w:w="60"/>
              <w:right w:type="dxa" w:w="100"/>
            </w:tcMar>
          </w:tcPr>
          <w:p>
            <w:pPr>
              <w:jc w:val="left"/>
            </w:pPr>
            <w:r>
              <w:rPr>
                <w:b w:val="false"/>
                <w:bCs w:val="false"/>
                <w:color w:val="000000"/>
                <w:sz w:val="20"/>
                <w:szCs w:val="20"/>
              </w:rPr>
              <w:t xml:space="preserve">gold_rates table</w:t>
            </w:r>
          </w:p>
        </w:tc>
        <w:tc>
          <w:tcPr>
            <w:tcW w:type="dxa" w:w="6040"/>
            <w:tcMar>
              <w:top w:type="dxa" w:w="60"/>
              <w:left w:type="dxa" w:w="100"/>
              <w:bottom w:type="dxa" w:w="60"/>
              <w:right w:type="dxa" w:w="100"/>
            </w:tcMar>
          </w:tcPr>
          <w:p>
            <w:pPr>
              <w:jc w:val="left"/>
            </w:pPr>
            <w:r>
              <w:rPr>
                <w:b w:val="false"/>
                <w:bCs w:val="false"/>
                <w:color w:val="000000"/>
                <w:sz w:val="20"/>
                <w:szCs w:val="20"/>
              </w:rPr>
              <w:t xml:space="preserve">id, warehouse_id (FK, nullable — null means “company-wide,” a value means a branch-specific override), metal_type_id (FK), karat_id (FK), currency_id (FK → existing currencies table), rate_per_weight_unit (decimal 12,2), weight_uom, rate_source (enum: manual, api), effective_at (datetime), expires_at (datetime, nullable), status (enum: active, expired), created_by (FK users), timestamps.</w:t>
            </w:r>
          </w:p>
        </w:tc>
      </w:tr>
    </w:tbl>
    <w:p>
      <w:pPr>
        <w:spacing w:after="120"/>
      </w:pPr>
      <w:r>
        <w:t xml:space="preserve">Behaviour required by the brief and reflected in this schema: the most recent effective_at row per (metal_type, karat, warehouse) is “the” current rate; entering a new rate does not touch old rows (they simply stop being “current”); every rate change is naturally logged because rows are never edited, only inserted (append-only), which is also the cheapest way to satisfy the audit requirement in §4.</w:t>
      </w:r>
    </w:p>
    <w:p>
      <w:pPr>
        <w:pStyle w:val="Heading3"/>
        <w:spacing w:after="100" w:before="200"/>
      </w:pPr>
      <w:r>
        <w:t xml:space="preserve">4.5 Freezing prices on posted invoices</w:t>
      </w:r>
    </w:p>
    <w:p>
      <w:pPr>
        <w:spacing w:after="120"/>
      </w:pPr>
      <w:r>
        <w:t xml:space="preserve">The existing sale_details table already copies (rather than re-reads) price, tax and discount at the moment of sale — exactly the pattern needed here. Extend it additively with: gold_rate_id (FK, nullable), gold_rate_value (decimal, snapshot of the rate actually used), karat_id (FK, nullable), metal_weight_used (decimal, nullable), making_charge_amount (decimal, nullable), wastage_amount (decimal, nullable), stone_value_amount (decimal, nullable), price_breakdown (json, nullable — the full calculation for that line, for the printed receipt and for support/audit), override_approved_by (FK users, nullable).</w:t>
      </w:r>
    </w:p>
    <w:p>
      <w:pPr>
        <w:spacing w:after="120"/>
      </w:pPr>
      <w:r>
        <w:t xml:space="preserve">Because these columns are only ever written once at sale time and never recalculated afterward, a later change to today's gold rate provably cannot alter a posted invoice — satisfying the brief's explicit “updating today's rate must not change old posted invoices” rule without needing any extra locking mechanism.</w:t>
      </w:r>
    </w:p>
    <w:p>
      <w:pPr>
        <w:pStyle w:val="Heading3"/>
        <w:spacing w:after="100" w:before="200"/>
      </w:pPr>
      <w:r>
        <w:t xml:space="preserve">4.6 Settings and feature flags</w:t>
      </w:r>
    </w:p>
    <w:p>
      <w:pPr>
        <w:spacing w:after="120"/>
      </w:pPr>
      <w:r>
        <w:t xml:space="preserve">Extend the existing settings table (tenant-wide) the same way pharmacy_mode was added:</w:t>
      </w:r>
    </w:p>
    <w:p>
      <w:pPr>
        <w:pStyle w:val="ListParagraph"/>
        <w:numPr>
          <w:ilvl w:val="0"/>
          <w:numId w:val="2"/>
        </w:numPr>
        <w:spacing w:after="60"/>
      </w:pPr>
      <w:r>
        <w:t xml:space="preserve">jewelry_mode (boolean, default false) — the master per-tenant switch</w:t>
      </w:r>
    </w:p>
    <w:p>
      <w:pPr>
        <w:pStyle w:val="ListParagraph"/>
        <w:numPr>
          <w:ilvl w:val="0"/>
          <w:numId w:val="2"/>
        </w:numPr>
        <w:spacing w:after="60"/>
      </w:pPr>
      <w:r>
        <w:t xml:space="preserve">default_making_charge_type / default_making_charge_value — pre-fills new items</w:t>
      </w:r>
    </w:p>
    <w:p>
      <w:pPr>
        <w:pStyle w:val="ListParagraph"/>
        <w:numPr>
          <w:ilvl w:val="0"/>
          <w:numId w:val="2"/>
        </w:numPr>
        <w:spacing w:after="60"/>
      </w:pPr>
      <w:r>
        <w:t xml:space="preserve">default_wastage_type / default_wastage_value</w:t>
      </w:r>
    </w:p>
    <w:p>
      <w:pPr>
        <w:pStyle w:val="ListParagraph"/>
        <w:numPr>
          <w:ilvl w:val="0"/>
          <w:numId w:val="2"/>
        </w:numPr>
        <w:spacing w:after="60"/>
      </w:pPr>
      <w:r>
        <w:t xml:space="preserve">gold_rate_requires_approval (boolean) — gates whether a rate change needs a second user's sign-off</w:t>
      </w:r>
    </w:p>
    <w:p>
      <w:pPr>
        <w:spacing w:after="120"/>
      </w:pPr>
      <w:r>
        <w:t xml:space="preserve">Extend the existing pos_settings table:</w:t>
      </w:r>
    </w:p>
    <w:p>
      <w:pPr>
        <w:pStyle w:val="ListParagraph"/>
        <w:numPr>
          <w:ilvl w:val="0"/>
          <w:numId w:val="2"/>
        </w:numPr>
        <w:spacing w:after="60"/>
      </w:pPr>
      <w:r>
        <w:t xml:space="preserve">show_gold_rate_on_pos (boolean)</w:t>
      </w:r>
    </w:p>
    <w:p>
      <w:pPr>
        <w:pStyle w:val="ListParagraph"/>
        <w:numPr>
          <w:ilvl w:val="0"/>
          <w:numId w:val="2"/>
        </w:numPr>
        <w:spacing w:after="60"/>
      </w:pPr>
      <w:r>
        <w:t xml:space="preserve">allow_jewelry_price_override (boolean)</w:t>
      </w:r>
    </w:p>
    <w:p>
      <w:pPr>
        <w:pStyle w:val="ListParagraph"/>
        <w:numPr>
          <w:ilvl w:val="0"/>
          <w:numId w:val="2"/>
        </w:numPr>
        <w:spacing w:after="60"/>
      </w:pPr>
      <w:r>
        <w:t xml:space="preserve">jewelry_override_approval_threshold (decimal, nullable) — overrides above this amount require an approver</w:t>
      </w:r>
    </w:p>
    <w:p>
      <w:pPr>
        <w:spacing w:after="120"/>
      </w:pPr>
      <w:r>
        <w:t xml:space="preserve">Both tables already have a $fillable/$casts array in their models (Setting.php, PosSetting.php) that simply needs the new keys added — no structural change to how settings are read elsewhere in the app.</w:t>
      </w:r>
    </w:p>
    <w:p>
      <w:r>
        <w:br w:type="page"/>
      </w:r>
    </w:p>
    <w:p>
      <w:pPr>
        <w:pStyle w:val="Heading1"/>
        <w:spacing w:after="160" w:before="360"/>
      </w:pPr>
      <w:r>
        <w:t xml:space="preserve">5. Backend Services</w:t>
      </w:r>
    </w:p>
    <w:p>
      <w:pPr>
        <w:spacing w:after="120"/>
      </w:pPr>
      <w:r>
        <w:t xml:space="preserve">Three new services carry almost all of the new business logic. They live under a new app/Services/Jewelry/ namespace, following the codebase's existing convention of a thin controller calling into a service class (already used elsewhere, e.g. CommissionService).</w:t>
      </w:r>
    </w:p>
    <w:p>
      <w:pPr>
        <w:pStyle w:val="Heading3"/>
        <w:spacing w:after="100" w:before="200"/>
      </w:pPr>
      <w:r>
        <w:t xml:space="preserve">5.1 Feature flag: JewelryModeGate</w:t>
      </w:r>
    </w:p>
    <w:p>
      <w:pPr>
        <w:spacing w:after="120"/>
      </w:pPr>
      <w:r>
        <w:t xml:space="preserve">A tiny helper (or a trait added to the base controller) that checks settings.jewelry_mode for the current tenant and short-circuits every new route/UI section when it is off. Every task in §7–§9 that adds a route, a Vue component, or a Blade section must be wrapped by this check. This is what makes the whole feature reversible with one settings change.</w:t>
      </w:r>
    </w:p>
    <w:p>
      <w:pPr>
        <w:pStyle w:val="Heading3"/>
        <w:spacing w:after="100" w:before="200"/>
      </w:pPr>
      <w:r>
        <w:t xml:space="preserve">5.2 GoldRateService (gold rate module)</w:t>
      </w:r>
    </w:p>
    <w:p>
      <w:pPr>
        <w:spacing w:after="120"/>
      </w:pPr>
      <w:r>
        <w:t xml:space="preserve">Responsibilities: create a new gold_rates row when a rate is entered (never edit an existing row); resolve “the current rate” for a given metal + karat + optional warehouse override, falling back to the company-wide rate when no branch override exists; expose rate history for reporting/audit; optionally, a later story can add a scheduled job that pulls a rate from an external API into the same table with rate_source = api — the schema already supports this, so it is not a blocking Phase 1 dependency.</w:t>
      </w:r>
    </w:p>
    <w:p>
      <w:pPr>
        <w:pStyle w:val="ListParagraph"/>
        <w:numPr>
          <w:ilvl w:val="0"/>
          <w:numId w:val="2"/>
        </w:numPr>
        <w:spacing w:after="60"/>
      </w:pPr>
      <w:r>
        <w:t xml:space="preserve">getCurrentRate(metalTypeId, karatId, warehouseId = null): GoldRate</w:t>
      </w:r>
    </w:p>
    <w:p>
      <w:pPr>
        <w:pStyle w:val="ListParagraph"/>
        <w:numPr>
          <w:ilvl w:val="0"/>
          <w:numId w:val="2"/>
        </w:numPr>
        <w:spacing w:after="60"/>
      </w:pPr>
      <w:r>
        <w:t xml:space="preserve">setRate(metalTypeId, karatId, ratePerUnit, currencyId, warehouseId = null, userId): GoldRate — always inserts, never updates</w:t>
      </w:r>
    </w:p>
    <w:p>
      <w:pPr>
        <w:pStyle w:val="ListParagraph"/>
        <w:numPr>
          <w:ilvl w:val="0"/>
          <w:numId w:val="2"/>
        </w:numPr>
        <w:spacing w:after="60"/>
      </w:pPr>
      <w:r>
        <w:t xml:space="preserve">history(metalTypeId, karatId, dateRange): Collection — for the rate history screen and reports</w:t>
      </w:r>
    </w:p>
    <w:p>
      <w:pPr>
        <w:pStyle w:val="Heading3"/>
        <w:spacing w:after="100" w:before="200"/>
      </w:pPr>
      <w:r>
        <w:t xml:space="preserve">5.3 JewelryPricingService (the pricing engine)</w:t>
      </w:r>
    </w:p>
    <w:p>
      <w:pPr>
        <w:spacing w:after="120"/>
      </w:pPr>
      <w:r>
        <w:t xml:space="preserve">This is the single place price is calculated — the item form, the pricing-preview widget, the POS screen, and invoice posting all call the same method, per the customization brief's explicit requirement that pricing logic must not be duplicated per screen. Calculation, in order:</w:t>
      </w:r>
    </w:p>
    <w:p>
      <w:pPr>
        <w:pStyle w:val="ListParagraph"/>
        <w:numPr>
          <w:ilvl w:val="0"/>
          <w:numId w:val="3"/>
        </w:numPr>
        <w:spacing w:after="60"/>
      </w:pPr>
      <w:r>
        <w:t xml:space="preserve">Metal Value = jewelry_metal_weight × current gold rate (from GoldRateService, for the item's metal_type + karat + the sale's warehouse)</w:t>
      </w:r>
    </w:p>
    <w:p>
      <w:pPr>
        <w:pStyle w:val="ListParagraph"/>
        <w:numPr>
          <w:ilvl w:val="0"/>
          <w:numId w:val="3"/>
        </w:numPr>
        <w:spacing w:after="60"/>
      </w:pPr>
      <w:r>
        <w:t xml:space="preserve">Wastage Value = computed from wastage_type/wastage_value — either a percentage of Metal Value, a percentage added to the weight before pricing, or a fixed value</w:t>
      </w:r>
    </w:p>
    <w:p>
      <w:pPr>
        <w:pStyle w:val="ListParagraph"/>
        <w:numPr>
          <w:ilvl w:val="0"/>
          <w:numId w:val="3"/>
        </w:numPr>
        <w:spacing w:after="60"/>
      </w:pPr>
      <w:r>
        <w:t xml:space="preserve">Making Charge = computed from making_charge_type/making_charge_value: fixed amount, amount × grams, percentage of Metal Value, a manually entered override, or a formula string evaluated against the other components</w:t>
      </w:r>
    </w:p>
    <w:p>
      <w:pPr>
        <w:pStyle w:val="ListParagraph"/>
        <w:numPr>
          <w:ilvl w:val="0"/>
          <w:numId w:val="3"/>
        </w:numPr>
        <w:spacing w:after="60"/>
      </w:pPr>
      <w:r>
        <w:t xml:space="preserve">Stone Value = sum of item_stones.total_cost_amount for the item</w:t>
      </w:r>
    </w:p>
    <w:p>
      <w:pPr>
        <w:pStyle w:val="ListParagraph"/>
        <w:numPr>
          <w:ilvl w:val="0"/>
          <w:numId w:val="3"/>
        </w:numPr>
        <w:spacing w:after="60"/>
      </w:pPr>
      <w:r>
        <w:t xml:space="preserve">Base Jewelry Value = Metal Value + Wastage Value + Making Charge + Stone Value + Labor (if entered) + any additional cost components</w:t>
      </w:r>
    </w:p>
    <w:p>
      <w:pPr>
        <w:pStyle w:val="ListParagraph"/>
        <w:numPr>
          <w:ilvl w:val="0"/>
          <w:numId w:val="3"/>
        </w:numPr>
        <w:spacing w:after="60"/>
      </w:pPr>
      <w:r>
        <w:t xml:space="preserve">Selling Price = Base Jewelry Value + Markup − Discount + Tax</w:t>
      </w:r>
    </w:p>
    <w:p>
      <w:pPr>
        <w:spacing w:after="120"/>
      </w:pPr>
      <w:r>
        <w:t xml:space="preserve">The service returns a structured breakdown object (every line above, plus the gold rate and its effective timestamp) — this exact object is what gets rendered in the pricing-preview UI (§7) and what gets serialized into sale_details.price_breakdown at the moment of sale (§4.5), so the breakdown a cashier previews is provably identical to what is stored on the invoice.</w:t>
      </w:r>
    </w:p>
    <w:p>
      <w:pPr>
        <w:pStyle w:val="ListParagraph"/>
        <w:numPr>
          <w:ilvl w:val="0"/>
          <w:numId w:val="2"/>
        </w:numPr>
        <w:spacing w:after="60"/>
      </w:pPr>
      <w:r>
        <w:t xml:space="preserve">preview(productId, warehouseId, overrides = []): PriceBreakdown — used by the item form and POS before anything is saved</w:t>
      </w:r>
    </w:p>
    <w:p>
      <w:pPr>
        <w:pStyle w:val="ListParagraph"/>
        <w:numPr>
          <w:ilvl w:val="0"/>
          <w:numId w:val="2"/>
        </w:numPr>
        <w:spacing w:after="60"/>
      </w:pPr>
      <w:r>
        <w:t xml:space="preserve">priceForSale(productId, warehouseId, saleContext): PriceBreakdown — called once, at the moment a sale line is created, and its result is what gets snapshotted; never recalculated afterward</w:t>
      </w:r>
    </w:p>
    <w:p>
      <w:pPr>
        <w:spacing w:after="120"/>
      </w:pPr>
      <w:r>
        <w:t xml:space="preserve">Because both callers go through the same method, there is no way for the POS to show one number and the invoice to store another — the two known failure modes flagged in the source documents (duplicated pricing logic, and “updating today's rate changes yesterday's invoice”) are both closed by this single design choice.</w:t>
      </w:r>
    </w:p>
    <w:p>
      <w:pPr>
        <w:pStyle w:val="Heading3"/>
        <w:spacing w:after="100" w:before="200"/>
      </w:pPr>
      <w:r>
        <w:t xml:space="preserve">5.4 Weight-based inventory and serialized pieces</w:t>
      </w:r>
    </w:p>
    <w:p>
      <w:pPr>
        <w:spacing w:after="120"/>
      </w:pPr>
      <w:r>
        <w:t xml:space="preserve">Two existing mechanisms already cover the two cases the customization brief describes, and should be extended rather than replaced:</w:t>
      </w:r>
    </w:p>
    <w:p>
      <w:pPr>
        <w:pStyle w:val="ListParagraph"/>
        <w:numPr>
          <w:ilvl w:val="0"/>
          <w:numId w:val="2"/>
        </w:numPr>
        <w:spacing w:after="60"/>
      </w:pPr>
      <w:r>
        <w:t xml:space="preserve">Serialized jewelry piece (e.g. a one-of-a-kind ring with its own tag): extend the existing product_serials / product_serial_movements tables (already used for IMEI tracking) with piece_weight and karat_id columns, and reuse their existing statuses (available, sold, reserved, returned, damaged) plus the append-only movement log — this already satisfies “every movement creates an audit trail” and “an item cannot be sold twice” without new tables.</w:t>
      </w:r>
    </w:p>
    <w:p>
      <w:pPr>
        <w:pStyle w:val="ListParagraph"/>
        <w:numPr>
          <w:ilvl w:val="0"/>
          <w:numId w:val="2"/>
        </w:numPr>
        <w:spacing w:after="60"/>
      </w:pPr>
      <w:r>
        <w:t xml:space="preserve">Weighted/grouped gold item (e.g. loose bangles sold by weight, not individually tagged): add weight-tracking columns to the existing product_warehouse table (available_weight alongside its existing qte column) and a new, small product_weight_movements table mirroring product_serial_movements's shape (warehouse_id, warehouse_location_id, movement_type, weight_delta, source_document, user_id, created_at) — the existing warehouse_locations table already models rack/shelf/safe, so “transfer from safe to showroom” (the brief's acceptance scenario, §10) is a location change on an existing table, not a new concept.</w:t>
      </w:r>
    </w:p>
    <w:p>
      <w:pPr>
        <w:spacing w:after="120"/>
      </w:pPr>
      <w:r>
        <w:t xml:space="preserve">Negative-stock prevention and location-drill-down (both explicitly required by the brief) fall out of this for free, because they are exactly what the existing serial/warehouse mechanisms already do for non-jewelry products.</w:t>
      </w:r>
    </w:p>
    <w:p>
      <w:r>
        <w:br w:type="page"/>
      </w:r>
    </w:p>
    <w:p>
      <w:pPr>
        <w:pStyle w:val="Heading1"/>
        <w:spacing w:after="160" w:before="360"/>
      </w:pPr>
      <w:r>
        <w:t xml:space="preserve">6. API Endpoints</w:t>
      </w:r>
    </w:p>
    <w:p>
      <w:pPr>
        <w:spacing w:after="120"/>
      </w:pPr>
      <w:r>
        <w:t xml:space="preserve">The existing products resource (already registered in routes/tenant_api.php and mirrored — for now, unchanged — in the legacy routes/api.php) is extended rather than duplicated with a parallel /items API, to keep one source of truth for an item's data. New, jewelry-specific endpoints are added alongside it:</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3400"/>
        <w:gridCol w:w="5040"/>
      </w:tblGrid>
      <w:tr>
        <w:trPr>
          <w:tblHeader/>
        </w:trPr>
        <w:tc>
          <w:tcPr>
            <w:tcW w:type="dxa" w:w="3400"/>
            <w:shd w:fill="1F3864" w:val="clear"/>
            <w:tcMar>
              <w:top w:type="dxa" w:w="60"/>
              <w:left w:type="dxa" w:w="100"/>
              <w:bottom w:type="dxa" w:w="60"/>
              <w:right w:type="dxa" w:w="100"/>
            </w:tcMar>
          </w:tcPr>
          <w:p>
            <w:pPr>
              <w:jc w:val="left"/>
            </w:pPr>
            <w:r>
              <w:rPr>
                <w:b/>
                <w:bCs/>
                <w:color w:val="FFFFFF"/>
                <w:sz w:val="20"/>
                <w:szCs w:val="20"/>
              </w:rPr>
              <w:t xml:space="preserve">Endpoint</w:t>
            </w:r>
          </w:p>
        </w:tc>
        <w:tc>
          <w:tcPr>
            <w:tcW w:type="dxa" w:w="5040"/>
            <w:shd w:fill="1F3864" w:val="clear"/>
            <w:tcMar>
              <w:top w:type="dxa" w:w="60"/>
              <w:left w:type="dxa" w:w="100"/>
              <w:bottom w:type="dxa" w:w="60"/>
              <w:right w:type="dxa" w:w="100"/>
            </w:tcMar>
          </w:tcPr>
          <w:p>
            <w:pPr>
              <w:jc w:val="left"/>
            </w:pPr>
            <w:r>
              <w:rPr>
                <w:b/>
                <w:bCs/>
                <w:color w:val="FFFFFF"/>
                <w:sz w:val="20"/>
                <w:szCs w:val="20"/>
              </w:rPr>
              <w:t xml:space="preserve">Purpose</w:t>
            </w:r>
          </w:p>
        </w:tc>
      </w:tr>
      <w:tr>
        <w:tc>
          <w:tcPr>
            <w:tcW w:type="dxa" w:w="3400"/>
            <w:tcMar>
              <w:top w:type="dxa" w:w="60"/>
              <w:left w:type="dxa" w:w="100"/>
              <w:bottom w:type="dxa" w:w="60"/>
              <w:right w:type="dxa" w:w="100"/>
            </w:tcMar>
          </w:tcPr>
          <w:p>
            <w:pPr>
              <w:jc w:val="left"/>
            </w:pPr>
            <w:r>
              <w:rPr>
                <w:b w:val="false"/>
                <w:bCs w:val="false"/>
                <w:color w:val="000000"/>
                <w:sz w:val="20"/>
                <w:szCs w:val="20"/>
              </w:rPr>
              <w:t xml:space="preserve">GET/PUT /api/v1/products/{id} (extended)</w:t>
            </w:r>
          </w:p>
        </w:tc>
        <w:tc>
          <w:tcPr>
            <w:tcW w:type="dxa" w:w="5040"/>
            <w:tcMar>
              <w:top w:type="dxa" w:w="60"/>
              <w:left w:type="dxa" w:w="100"/>
              <w:bottom w:type="dxa" w:w="60"/>
              <w:right w:type="dxa" w:w="100"/>
            </w:tcMar>
          </w:tcPr>
          <w:p>
            <w:pPr>
              <w:jc w:val="left"/>
            </w:pPr>
            <w:r>
              <w:rPr>
                <w:b w:val="false"/>
                <w:bCs w:val="false"/>
                <w:color w:val="000000"/>
                <w:sz w:val="20"/>
                <w:szCs w:val="20"/>
              </w:rPr>
              <w:t xml:space="preserve">Now accepts and returns the new jewelry_* fields, metal_type_id, karat_id, and a nested stones array, when is_jewelry_item is true.</w:t>
            </w:r>
          </w:p>
        </w:tc>
      </w:tr>
      <w:tr>
        <w:tc>
          <w:tcPr>
            <w:tcW w:type="dxa" w:w="3400"/>
            <w:shd w:fill="F5F5F5" w:val="clear"/>
            <w:tcMar>
              <w:top w:type="dxa" w:w="60"/>
              <w:left w:type="dxa" w:w="100"/>
              <w:bottom w:type="dxa" w:w="60"/>
              <w:right w:type="dxa" w:w="100"/>
            </w:tcMar>
          </w:tcPr>
          <w:p>
            <w:pPr>
              <w:jc w:val="left"/>
            </w:pPr>
            <w:r>
              <w:rPr>
                <w:b w:val="false"/>
                <w:bCs w:val="false"/>
                <w:color w:val="000000"/>
                <w:sz w:val="20"/>
                <w:szCs w:val="20"/>
              </w:rPr>
              <w:t xml:space="preserve">GET /api/v1/gold-rates</w:t>
            </w:r>
          </w:p>
        </w:tc>
        <w:tc>
          <w:tcPr>
            <w:tcW w:type="dxa" w:w="5040"/>
            <w:shd w:fill="F5F5F5" w:val="clear"/>
            <w:tcMar>
              <w:top w:type="dxa" w:w="60"/>
              <w:left w:type="dxa" w:w="100"/>
              <w:bottom w:type="dxa" w:w="60"/>
              <w:right w:type="dxa" w:w="100"/>
            </w:tcMar>
          </w:tcPr>
          <w:p>
            <w:pPr>
              <w:jc w:val="left"/>
            </w:pPr>
            <w:r>
              <w:rPr>
                <w:b w:val="false"/>
                <w:bCs w:val="false"/>
                <w:color w:val="000000"/>
                <w:sz w:val="20"/>
                <w:szCs w:val="20"/>
              </w:rPr>
              <w:t xml:space="preserve">List/history of rates, filterable by metal, karat, warehouse, date range.</w:t>
            </w:r>
          </w:p>
        </w:tc>
      </w:tr>
      <w:tr>
        <w:tc>
          <w:tcPr>
            <w:tcW w:type="dxa" w:w="3400"/>
            <w:tcMar>
              <w:top w:type="dxa" w:w="60"/>
              <w:left w:type="dxa" w:w="100"/>
              <w:bottom w:type="dxa" w:w="60"/>
              <w:right w:type="dxa" w:w="100"/>
            </w:tcMar>
          </w:tcPr>
          <w:p>
            <w:pPr>
              <w:jc w:val="left"/>
            </w:pPr>
            <w:r>
              <w:rPr>
                <w:b w:val="false"/>
                <w:bCs w:val="false"/>
                <w:color w:val="000000"/>
                <w:sz w:val="20"/>
                <w:szCs w:val="20"/>
              </w:rPr>
              <w:t xml:space="preserve">POST /api/v1/gold-rates</w:t>
            </w:r>
          </w:p>
        </w:tc>
        <w:tc>
          <w:tcPr>
            <w:tcW w:type="dxa" w:w="5040"/>
            <w:tcMar>
              <w:top w:type="dxa" w:w="60"/>
              <w:left w:type="dxa" w:w="100"/>
              <w:bottom w:type="dxa" w:w="60"/>
              <w:right w:type="dxa" w:w="100"/>
            </w:tcMar>
          </w:tcPr>
          <w:p>
            <w:pPr>
              <w:jc w:val="left"/>
            </w:pPr>
            <w:r>
              <w:rPr>
                <w:b w:val="false"/>
                <w:bCs w:val="false"/>
                <w:color w:val="000000"/>
                <w:sz w:val="20"/>
                <w:szCs w:val="20"/>
              </w:rPr>
              <w:t xml:space="preserve">Enter a new rate (always inserts; see §5.2).</w:t>
            </w:r>
          </w:p>
        </w:tc>
      </w:tr>
      <w:tr>
        <w:tc>
          <w:tcPr>
            <w:tcW w:type="dxa" w:w="3400"/>
            <w:shd w:fill="F5F5F5" w:val="clear"/>
            <w:tcMar>
              <w:top w:type="dxa" w:w="60"/>
              <w:left w:type="dxa" w:w="100"/>
              <w:bottom w:type="dxa" w:w="60"/>
              <w:right w:type="dxa" w:w="100"/>
            </w:tcMar>
          </w:tcPr>
          <w:p>
            <w:pPr>
              <w:jc w:val="left"/>
            </w:pPr>
            <w:r>
              <w:rPr>
                <w:b w:val="false"/>
                <w:bCs w:val="false"/>
                <w:color w:val="000000"/>
                <w:sz w:val="20"/>
                <w:szCs w:val="20"/>
              </w:rPr>
              <w:t xml:space="preserve">GET /api/v1/gold-rates/current</w:t>
            </w:r>
          </w:p>
        </w:tc>
        <w:tc>
          <w:tcPr>
            <w:tcW w:type="dxa" w:w="5040"/>
            <w:shd w:fill="F5F5F5" w:val="clear"/>
            <w:tcMar>
              <w:top w:type="dxa" w:w="60"/>
              <w:left w:type="dxa" w:w="100"/>
              <w:bottom w:type="dxa" w:w="60"/>
              <w:right w:type="dxa" w:w="100"/>
            </w:tcMar>
          </w:tcPr>
          <w:p>
            <w:pPr>
              <w:jc w:val="left"/>
            </w:pPr>
            <w:r>
              <w:rPr>
                <w:b w:val="false"/>
                <w:bCs w:val="false"/>
                <w:color w:val="000000"/>
                <w:sz w:val="20"/>
                <w:szCs w:val="20"/>
              </w:rPr>
              <w:t xml:space="preserve">Resolve today's applicable rate for a metal + karat (+ optional warehouse).</w:t>
            </w:r>
          </w:p>
        </w:tc>
      </w:tr>
      <w:tr>
        <w:tc>
          <w:tcPr>
            <w:tcW w:type="dxa" w:w="3400"/>
            <w:tcMar>
              <w:top w:type="dxa" w:w="60"/>
              <w:left w:type="dxa" w:w="100"/>
              <w:bottom w:type="dxa" w:w="60"/>
              <w:right w:type="dxa" w:w="100"/>
            </w:tcMar>
          </w:tcPr>
          <w:p>
            <w:pPr>
              <w:jc w:val="left"/>
            </w:pPr>
            <w:r>
              <w:rPr>
                <w:b w:val="false"/>
                <w:bCs w:val="false"/>
                <w:color w:val="000000"/>
                <w:sz w:val="20"/>
                <w:szCs w:val="20"/>
              </w:rPr>
              <w:t xml:space="preserve">POST /api/v1/pricing/preview</w:t>
            </w:r>
          </w:p>
        </w:tc>
        <w:tc>
          <w:tcPr>
            <w:tcW w:type="dxa" w:w="5040"/>
            <w:tcMar>
              <w:top w:type="dxa" w:w="60"/>
              <w:left w:type="dxa" w:w="100"/>
              <w:bottom w:type="dxa" w:w="60"/>
              <w:right w:type="dxa" w:w="100"/>
            </w:tcMar>
          </w:tcPr>
          <w:p>
            <w:pPr>
              <w:jc w:val="left"/>
            </w:pPr>
            <w:r>
              <w:rPr>
                <w:b w:val="false"/>
                <w:bCs w:val="false"/>
                <w:color w:val="000000"/>
                <w:sz w:val="20"/>
                <w:szCs w:val="20"/>
              </w:rPr>
              <w:t xml:space="preserve">Runs JewelryPricingService::preview() for a product/warehouse (and optional manual overrides); used by both the item form and the POS before a sale is completed.</w:t>
            </w:r>
          </w:p>
        </w:tc>
      </w:tr>
      <w:tr>
        <w:tc>
          <w:tcPr>
            <w:tcW w:type="dxa" w:w="3400"/>
            <w:shd w:fill="F5F5F5" w:val="clear"/>
            <w:tcMar>
              <w:top w:type="dxa" w:w="60"/>
              <w:left w:type="dxa" w:w="100"/>
              <w:bottom w:type="dxa" w:w="60"/>
              <w:right w:type="dxa" w:w="100"/>
            </w:tcMar>
          </w:tcPr>
          <w:p>
            <w:pPr>
              <w:jc w:val="left"/>
            </w:pPr>
            <w:r>
              <w:rPr>
                <w:b w:val="false"/>
                <w:bCs w:val="false"/>
                <w:color w:val="000000"/>
                <w:sz w:val="20"/>
                <w:szCs w:val="20"/>
              </w:rPr>
              <w:t xml:space="preserve">GET /api/v1/inventory/balances</w:t>
            </w:r>
          </w:p>
        </w:tc>
        <w:tc>
          <w:tcPr>
            <w:tcW w:type="dxa" w:w="5040"/>
            <w:shd w:fill="F5F5F5" w:val="clear"/>
            <w:tcMar>
              <w:top w:type="dxa" w:w="60"/>
              <w:left w:type="dxa" w:w="100"/>
              <w:bottom w:type="dxa" w:w="60"/>
              <w:right w:type="dxa" w:w="100"/>
            </w:tcMar>
          </w:tcPr>
          <w:p>
            <w:pPr>
              <w:jc w:val="left"/>
            </w:pPr>
            <w:r>
              <w:rPr>
                <w:b w:val="false"/>
                <w:bCs w:val="false"/>
                <w:color w:val="000000"/>
                <w:sz w:val="20"/>
                <w:szCs w:val="20"/>
              </w:rPr>
              <w:t xml:space="preserve">Weight-aware stock balance per warehouse/location, extending the existing product_warehouse read path.</w:t>
            </w:r>
          </w:p>
        </w:tc>
      </w:tr>
      <w:tr>
        <w:tc>
          <w:tcPr>
            <w:tcW w:type="dxa" w:w="3400"/>
            <w:tcMar>
              <w:top w:type="dxa" w:w="60"/>
              <w:left w:type="dxa" w:w="100"/>
              <w:bottom w:type="dxa" w:w="60"/>
              <w:right w:type="dxa" w:w="100"/>
            </w:tcMar>
          </w:tcPr>
          <w:p>
            <w:pPr>
              <w:jc w:val="left"/>
            </w:pPr>
            <w:r>
              <w:rPr>
                <w:b w:val="false"/>
                <w:bCs w:val="false"/>
                <w:color w:val="000000"/>
                <w:sz w:val="20"/>
                <w:szCs w:val="20"/>
              </w:rPr>
              <w:t xml:space="preserve">GET /api/v1/inventory/movements</w:t>
            </w:r>
          </w:p>
        </w:tc>
        <w:tc>
          <w:tcPr>
            <w:tcW w:type="dxa" w:w="5040"/>
            <w:tcMar>
              <w:top w:type="dxa" w:w="60"/>
              <w:left w:type="dxa" w:w="100"/>
              <w:bottom w:type="dxa" w:w="60"/>
              <w:right w:type="dxa" w:w="100"/>
            </w:tcMar>
          </w:tcPr>
          <w:p>
            <w:pPr>
              <w:jc w:val="left"/>
            </w:pPr>
            <w:r>
              <w:rPr>
                <w:b w:val="false"/>
                <w:bCs w:val="false"/>
                <w:color w:val="000000"/>
                <w:sz w:val="20"/>
                <w:szCs w:val="20"/>
              </w:rPr>
              <w:t xml:space="preserve">Weight and serial movement history for an item (drill-down).</w:t>
            </w:r>
          </w:p>
        </w:tc>
      </w:tr>
    </w:tbl>
    <w:p>
      <w:pPr>
        <w:spacing w:after="120"/>
      </w:pPr>
      <w:r>
        <w:t xml:space="preserve">All of these follow the existing auth/authorization pattern already in the codebase (Laravel Passport bearer tokens, policy-based authorization via authorizeForUser) — no new authentication mechanism is introduced.</w:t>
      </w:r>
    </w:p>
    <w:p>
      <w:r>
        <w:br w:type="page"/>
      </w:r>
    </w:p>
    <w:p>
      <w:pPr>
        <w:pStyle w:val="Heading1"/>
        <w:spacing w:after="160" w:before="360"/>
      </w:pPr>
      <w:r>
        <w:t xml:space="preserve">7. Frontend / UI Screens</w:t>
      </w:r>
    </w:p>
    <w:p>
      <w:pPr>
        <w:spacing w:after="120"/>
      </w:pPr>
      <w:r>
        <w:t xml:space="preserve">Person 3's first task in Sprint 1 is to locate the exact Vue component(s) behind the current Products screen and the POS screen inside resources/src/ (the codebase audit confirmed the Vue app lives there, in a classic containers/views/components/store structure, but did not need to open every file — that discovery is a half-day task, not a research unknown). Every screen below is a change to those existing components, not a new page framework.</w:t>
      </w:r>
    </w:p>
    <w:p>
      <w:pPr>
        <w:pStyle w:val="Heading3"/>
        <w:spacing w:after="100" w:before="200"/>
      </w:pPr>
      <w:r>
        <w:t xml:space="preserve">7.1 Item creation and editing</w:t>
      </w:r>
    </w:p>
    <w:p>
      <w:pPr>
        <w:spacing w:after="120"/>
      </w:pPr>
      <w:r>
        <w:t xml:space="preserve">Add new, clearly separated sections to the existing product form (per the brief's explicit instruction not to dump every field into one long form), each only rendered when is_jewelry_item is toggled on:</w:t>
      </w:r>
    </w:p>
    <w:p>
      <w:pPr>
        <w:pStyle w:val="ListParagraph"/>
        <w:numPr>
          <w:ilvl w:val="0"/>
          <w:numId w:val="2"/>
        </w:numPr>
        <w:spacing w:after="60"/>
      </w:pPr>
      <w:r>
        <w:t xml:space="preserve">Metal and Karat (metal_type, karat, with karat options filtering to the selected metal)</w:t>
      </w:r>
    </w:p>
    <w:p>
      <w:pPr>
        <w:pStyle w:val="ListParagraph"/>
        <w:numPr>
          <w:ilvl w:val="0"/>
          <w:numId w:val="2"/>
        </w:numPr>
        <w:spacing w:after="60"/>
      </w:pPr>
      <w:r>
        <w:t xml:space="preserve">Weight Information (gross, net, metal weight, unit)</w:t>
      </w:r>
    </w:p>
    <w:p>
      <w:pPr>
        <w:pStyle w:val="ListParagraph"/>
        <w:numPr>
          <w:ilvl w:val="0"/>
          <w:numId w:val="2"/>
        </w:numPr>
        <w:spacing w:after="60"/>
      </w:pPr>
      <w:r>
        <w:t xml:space="preserve">Stones and Certificates (repeatable item_stones rows, certificate number, hallmark reference)</w:t>
      </w:r>
    </w:p>
    <w:p>
      <w:pPr>
        <w:pStyle w:val="ListParagraph"/>
        <w:numPr>
          <w:ilvl w:val="0"/>
          <w:numId w:val="2"/>
        </w:numPr>
        <w:spacing w:after="60"/>
      </w:pPr>
      <w:r>
        <w:t xml:space="preserve">Cost and Making Charges (making charge method + value, wastage method + value)</w:t>
      </w:r>
    </w:p>
    <w:p>
      <w:pPr>
        <w:pStyle w:val="ListParagraph"/>
        <w:numPr>
          <w:ilvl w:val="0"/>
          <w:numId w:val="2"/>
        </w:numPr>
        <w:spacing w:after="60"/>
      </w:pPr>
      <w:r>
        <w:t xml:space="preserve">Pricing Preview (a shared PricingPreview.vue component — same component embedded again in the POS, see §7.4 — calling POST /pricing/preview live as fields change)</w:t>
      </w:r>
    </w:p>
    <w:p>
      <w:pPr>
        <w:spacing w:after="120"/>
      </w:pPr>
      <w:r>
        <w:t xml:space="preserve">The existing General Information, Images, Inventory Location and Audit/History sections stay exactly as they are today.</w:t>
      </w:r>
    </w:p>
    <w:p>
      <w:pPr>
        <w:pStyle w:val="Heading3"/>
        <w:spacing w:after="100" w:before="200"/>
      </w:pPr>
      <w:r>
        <w:t xml:space="preserve">7.2 Item list and item details</w:t>
      </w:r>
    </w:p>
    <w:p>
      <w:pPr>
        <w:spacing w:after="120"/>
      </w:pPr>
      <w:r>
        <w:t xml:space="preserve">Extend the existing product list's filter bar with: metal type, karat, category, gross/metal weight range, stone type, certificate number, warehouse, status, price range (all straightforward additions to whatever filter component already exists for the current category/brand/warehouse filters). Extend the item details view to show the full gold/stone specification, current calculated price, the rate used, movement history, and attached certificates.</w:t>
      </w:r>
    </w:p>
    <w:p>
      <w:pPr>
        <w:pStyle w:val="Heading3"/>
        <w:spacing w:after="100" w:before="200"/>
      </w:pPr>
      <w:r>
        <w:t xml:space="preserve">7.3 Gold Rate management screen (new)</w:t>
      </w:r>
    </w:p>
    <w:p>
      <w:pPr>
        <w:spacing w:after="120"/>
      </w:pPr>
      <w:r>
        <w:t xml:space="preserve">A new, small screen: a table of current rates by metal + karat (+ warehouse override, if any), an “enter today's rate” form that calls POST /gold-rates, and a history view calling GET /gold-rates. This is the only genuinely new page in Phase 1 — everything else is an extension of an existing screen.</w:t>
      </w:r>
    </w:p>
    <w:p>
      <w:pPr>
        <w:pStyle w:val="Heading3"/>
        <w:spacing w:after="100" w:before="200"/>
      </w:pPr>
      <w:r>
        <w:t xml:space="preserve">7.4 POS and invoice/receipt updates</w:t>
      </w:r>
    </w:p>
    <w:p>
      <w:pPr>
        <w:spacing w:after="120"/>
      </w:pPr>
      <w:r>
        <w:t xml:space="preserve">On the POS product tile/detail and the cart line item, show: image, barcode/serial, metal type, karat, gross/metal weight, stone summary, the live gold rate, and the full PricingPreview breakdown, before the sale is completed — reusing the same component from §7.1 so cashiers see the exact same numbers item-form users see. Update the invoice/receipt Blade template (and PDF export) to print the gold rate used, karat, making charge, wastage, and stone value lines, sourced from the sale_details snapshot columns in §4.5 — never recalculated at print time.</w:t>
      </w:r>
    </w:p>
    <w:p>
      <w:r>
        <w:br w:type="page"/>
      </w:r>
    </w:p>
    <w:p>
      <w:pPr>
        <w:pStyle w:val="Heading1"/>
        <w:spacing w:after="160" w:before="360"/>
      </w:pPr>
      <w:r>
        <w:t xml:space="preserve">8. Permissions, Settings and Reports</w:t>
      </w:r>
    </w:p>
    <w:p>
      <w:pPr>
        <w:pStyle w:val="Heading3"/>
        <w:spacing w:after="100" w:before="200"/>
      </w:pPr>
      <w:r>
        <w:t xml:space="preserve">8.1 New permissions</w:t>
      </w:r>
    </w:p>
    <w:p>
      <w:pPr>
        <w:spacing w:after="120"/>
      </w:pPr>
      <w:r>
        <w:t xml:space="preserve">Follow the codebase's existing custom RBAC exactly (Permission + Role models, enforced via Policy classes, seeded in database/seeders/PermissionsSeeder.php and PermissionRoleSeeder.php) — do not introduce a package like spatie/laravel-permission, which is not installed and would be a second, conflicting authorization system.</w:t>
      </w: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3200"/>
        <w:gridCol w:w="5240"/>
      </w:tblGrid>
      <w:tr>
        <w:trPr>
          <w:tblHeader/>
        </w:trPr>
        <w:tc>
          <w:tcPr>
            <w:tcW w:type="dxa" w:w="3200"/>
            <w:shd w:fill="1F3864" w:val="clear"/>
            <w:tcMar>
              <w:top w:type="dxa" w:w="60"/>
              <w:left w:type="dxa" w:w="100"/>
              <w:bottom w:type="dxa" w:w="60"/>
              <w:right w:type="dxa" w:w="100"/>
            </w:tcMar>
          </w:tcPr>
          <w:p>
            <w:pPr>
              <w:jc w:val="left"/>
            </w:pPr>
            <w:r>
              <w:rPr>
                <w:b/>
                <w:bCs/>
                <w:color w:val="FFFFFF"/>
                <w:sz w:val="20"/>
                <w:szCs w:val="20"/>
              </w:rPr>
              <w:t xml:space="preserve">Permission</w:t>
            </w:r>
          </w:p>
        </w:tc>
        <w:tc>
          <w:tcPr>
            <w:tcW w:type="dxa" w:w="5240"/>
            <w:shd w:fill="1F3864" w:val="clear"/>
            <w:tcMar>
              <w:top w:type="dxa" w:w="60"/>
              <w:left w:type="dxa" w:w="100"/>
              <w:bottom w:type="dxa" w:w="60"/>
              <w:right w:type="dxa" w:w="100"/>
            </w:tcMar>
          </w:tcPr>
          <w:p>
            <w:pPr>
              <w:jc w:val="left"/>
            </w:pPr>
            <w:r>
              <w:rPr>
                <w:b/>
                <w:bCs/>
                <w:color w:val="FFFFFF"/>
                <w:sz w:val="20"/>
                <w:szCs w:val="20"/>
              </w:rPr>
              <w:t xml:space="preserve">Gates</w:t>
            </w:r>
          </w:p>
        </w:tc>
      </w:tr>
      <w:tr>
        <w:tc>
          <w:tcPr>
            <w:tcW w:type="dxa" w:w="3200"/>
            <w:tcMar>
              <w:top w:type="dxa" w:w="60"/>
              <w:left w:type="dxa" w:w="100"/>
              <w:bottom w:type="dxa" w:w="60"/>
              <w:right w:type="dxa" w:w="100"/>
            </w:tcMar>
          </w:tcPr>
          <w:p>
            <w:pPr>
              <w:jc w:val="left"/>
            </w:pPr>
            <w:r>
              <w:rPr>
                <w:b w:val="false"/>
                <w:bCs w:val="false"/>
                <w:color w:val="000000"/>
                <w:sz w:val="20"/>
                <w:szCs w:val="20"/>
              </w:rPr>
              <w:t xml:space="preserve">jewelry_items_manage</w:t>
            </w:r>
          </w:p>
        </w:tc>
        <w:tc>
          <w:tcPr>
            <w:tcW w:type="dxa" w:w="5240"/>
            <w:tcMar>
              <w:top w:type="dxa" w:w="60"/>
              <w:left w:type="dxa" w:w="100"/>
              <w:bottom w:type="dxa" w:w="60"/>
              <w:right w:type="dxa" w:w="100"/>
            </w:tcMar>
          </w:tcPr>
          <w:p>
            <w:pPr>
              <w:jc w:val="left"/>
            </w:pPr>
            <w:r>
              <w:rPr>
                <w:b w:val="false"/>
                <w:bCs w:val="false"/>
                <w:color w:val="000000"/>
                <w:sz w:val="20"/>
                <w:szCs w:val="20"/>
              </w:rPr>
              <w:t xml:space="preserve">Create/edit jewelry-specific fields on a product</w:t>
            </w:r>
          </w:p>
        </w:tc>
      </w:tr>
      <w:tr>
        <w:tc>
          <w:tcPr>
            <w:tcW w:type="dxa" w:w="3200"/>
            <w:shd w:fill="F5F5F5" w:val="clear"/>
            <w:tcMar>
              <w:top w:type="dxa" w:w="60"/>
              <w:left w:type="dxa" w:w="100"/>
              <w:bottom w:type="dxa" w:w="60"/>
              <w:right w:type="dxa" w:w="100"/>
            </w:tcMar>
          </w:tcPr>
          <w:p>
            <w:pPr>
              <w:jc w:val="left"/>
            </w:pPr>
            <w:r>
              <w:rPr>
                <w:b w:val="false"/>
                <w:bCs w:val="false"/>
                <w:color w:val="000000"/>
                <w:sz w:val="20"/>
                <w:szCs w:val="20"/>
              </w:rPr>
              <w:t xml:space="preserve">gold_rates_view</w:t>
            </w:r>
          </w:p>
        </w:tc>
        <w:tc>
          <w:tcPr>
            <w:tcW w:type="dxa" w:w="5240"/>
            <w:shd w:fill="F5F5F5" w:val="clear"/>
            <w:tcMar>
              <w:top w:type="dxa" w:w="60"/>
              <w:left w:type="dxa" w:w="100"/>
              <w:bottom w:type="dxa" w:w="60"/>
              <w:right w:type="dxa" w:w="100"/>
            </w:tcMar>
          </w:tcPr>
          <w:p>
            <w:pPr>
              <w:jc w:val="left"/>
            </w:pPr>
            <w:r>
              <w:rPr>
                <w:b w:val="false"/>
                <w:bCs w:val="false"/>
                <w:color w:val="000000"/>
                <w:sz w:val="20"/>
                <w:szCs w:val="20"/>
              </w:rPr>
              <w:t xml:space="preserve">See current and historical rates</w:t>
            </w:r>
          </w:p>
        </w:tc>
      </w:tr>
      <w:tr>
        <w:tc>
          <w:tcPr>
            <w:tcW w:type="dxa" w:w="3200"/>
            <w:tcMar>
              <w:top w:type="dxa" w:w="60"/>
              <w:left w:type="dxa" w:w="100"/>
              <w:bottom w:type="dxa" w:w="60"/>
              <w:right w:type="dxa" w:w="100"/>
            </w:tcMar>
          </w:tcPr>
          <w:p>
            <w:pPr>
              <w:jc w:val="left"/>
            </w:pPr>
            <w:r>
              <w:rPr>
                <w:b w:val="false"/>
                <w:bCs w:val="false"/>
                <w:color w:val="000000"/>
                <w:sz w:val="20"/>
                <w:szCs w:val="20"/>
              </w:rPr>
              <w:t xml:space="preserve">gold_rates_manage</w:t>
            </w:r>
          </w:p>
        </w:tc>
        <w:tc>
          <w:tcPr>
            <w:tcW w:type="dxa" w:w="5240"/>
            <w:tcMar>
              <w:top w:type="dxa" w:w="60"/>
              <w:left w:type="dxa" w:w="100"/>
              <w:bottom w:type="dxa" w:w="60"/>
              <w:right w:type="dxa" w:w="100"/>
            </w:tcMar>
          </w:tcPr>
          <w:p>
            <w:pPr>
              <w:jc w:val="left"/>
            </w:pPr>
            <w:r>
              <w:rPr>
                <w:b w:val="false"/>
                <w:bCs w:val="false"/>
                <w:color w:val="000000"/>
                <w:sz w:val="20"/>
                <w:szCs w:val="20"/>
              </w:rPr>
              <w:t xml:space="preserve">Enter a new rate</w:t>
            </w:r>
          </w:p>
        </w:tc>
      </w:tr>
      <w:tr>
        <w:tc>
          <w:tcPr>
            <w:tcW w:type="dxa" w:w="3200"/>
            <w:shd w:fill="F5F5F5" w:val="clear"/>
            <w:tcMar>
              <w:top w:type="dxa" w:w="60"/>
              <w:left w:type="dxa" w:w="100"/>
              <w:bottom w:type="dxa" w:w="60"/>
              <w:right w:type="dxa" w:w="100"/>
            </w:tcMar>
          </w:tcPr>
          <w:p>
            <w:pPr>
              <w:jc w:val="left"/>
            </w:pPr>
            <w:r>
              <w:rPr>
                <w:b w:val="false"/>
                <w:bCs w:val="false"/>
                <w:color w:val="000000"/>
                <w:sz w:val="20"/>
                <w:szCs w:val="20"/>
              </w:rPr>
              <w:t xml:space="preserve">gold_rates_approve</w:t>
            </w:r>
          </w:p>
        </w:tc>
        <w:tc>
          <w:tcPr>
            <w:tcW w:type="dxa" w:w="5240"/>
            <w:shd w:fill="F5F5F5" w:val="clear"/>
            <w:tcMar>
              <w:top w:type="dxa" w:w="60"/>
              <w:left w:type="dxa" w:w="100"/>
              <w:bottom w:type="dxa" w:w="60"/>
              <w:right w:type="dxa" w:w="100"/>
            </w:tcMar>
          </w:tcPr>
          <w:p>
            <w:pPr>
              <w:jc w:val="left"/>
            </w:pPr>
            <w:r>
              <w:rPr>
                <w:b w:val="false"/>
                <w:bCs w:val="false"/>
                <w:color w:val="000000"/>
                <w:sz w:val="20"/>
                <w:szCs w:val="20"/>
              </w:rPr>
              <w:t xml:space="preserve">Approve a rate change, when gold_rate_requires_approval is on</w:t>
            </w:r>
          </w:p>
        </w:tc>
      </w:tr>
      <w:tr>
        <w:tc>
          <w:tcPr>
            <w:tcW w:type="dxa" w:w="3200"/>
            <w:tcMar>
              <w:top w:type="dxa" w:w="60"/>
              <w:left w:type="dxa" w:w="100"/>
              <w:bottom w:type="dxa" w:w="60"/>
              <w:right w:type="dxa" w:w="100"/>
            </w:tcMar>
          </w:tcPr>
          <w:p>
            <w:pPr>
              <w:jc w:val="left"/>
            </w:pPr>
            <w:r>
              <w:rPr>
                <w:b w:val="false"/>
                <w:bCs w:val="false"/>
                <w:color w:val="000000"/>
                <w:sz w:val="20"/>
                <w:szCs w:val="20"/>
              </w:rPr>
              <w:t xml:space="preserve">jewelry_pricing_override</w:t>
            </w:r>
          </w:p>
        </w:tc>
        <w:tc>
          <w:tcPr>
            <w:tcW w:type="dxa" w:w="5240"/>
            <w:tcMar>
              <w:top w:type="dxa" w:w="60"/>
              <w:left w:type="dxa" w:w="100"/>
              <w:bottom w:type="dxa" w:w="60"/>
              <w:right w:type="dxa" w:w="100"/>
            </w:tcMar>
          </w:tcPr>
          <w:p>
            <w:pPr>
              <w:jc w:val="left"/>
            </w:pPr>
            <w:r>
              <w:rPr>
                <w:b w:val="false"/>
                <w:bCs w:val="false"/>
                <w:color w:val="000000"/>
                <w:sz w:val="20"/>
                <w:szCs w:val="20"/>
              </w:rPr>
              <w:t xml:space="preserve">Manually override a calculated price above the configured threshold</w:t>
            </w:r>
          </w:p>
        </w:tc>
      </w:tr>
    </w:tbl>
    <w:p>
      <w:pPr>
        <w:spacing w:after="120"/>
      </w:pPr>
      <w:r>
        <w:t xml:space="preserve">Each needs a matching Policy class (e.g. GoldRatePolicy) following the exact shape of the existing ProductPolicy, plus entries in the two seeder files above so they show up in the admin's existing role/permission management screen with no changes to that screen itself.</w:t>
      </w:r>
    </w:p>
    <w:p>
      <w:pPr>
        <w:pStyle w:val="Heading3"/>
        <w:spacing w:after="100" w:before="200"/>
      </w:pPr>
      <w:r>
        <w:t xml:space="preserve">8.2 Settings screen</w:t>
      </w:r>
    </w:p>
    <w:p>
      <w:pPr>
        <w:spacing w:after="120"/>
      </w:pPr>
      <w:r>
        <w:t xml:space="preserve">Add a “Jewelry” tab to the existing Settings screen: the jewelry_mode toggle, default making-charge method/value, default wastage method/value, gold_rate_requires_approval, and the two new POS settings from §4.6. This is additive UI on an existing settings page, not a new settings framework.</w:t>
      </w:r>
    </w:p>
    <w:p>
      <w:pPr>
        <w:pStyle w:val="Heading3"/>
        <w:spacing w:after="100" w:before="200"/>
      </w:pPr>
      <w:r>
        <w:t xml:space="preserve">8.3 Reports</w:t>
      </w:r>
    </w:p>
    <w:p>
      <w:pPr>
        <w:spacing w:after="120"/>
      </w:pPr>
      <w:r>
        <w:t xml:space="preserve">Extend the existing ReportController with two Phase-1 reports, matching the report patterns already used elsewhere in the app (date range + branch filter + export to PDF/Excel): a karat-wise sales report (revenue and grams sold, grouped by karat) and a stock valuation report (current inventory value by weight and by karat, using the current gold rate). Anything beyond these two (full gold ledger reports, BI dashboards) is out of scope per §2.5.</w:t>
      </w:r>
    </w:p>
    <w:p>
      <w:r>
        <w:br w:type="page"/>
      </w:r>
    </w:p>
    <w:p>
      <w:pPr>
        <w:pStyle w:val="Heading1"/>
        <w:spacing w:after="160" w:before="360"/>
      </w:pPr>
      <w:r>
        <w:t xml:space="preserve">9. Sprint-by-Sprint Task Breakdown and Timeline</w:t>
      </w:r>
    </w:p>
    <w:p>
      <w:pPr>
        <w:spacing w:after="120"/>
      </w:pPr>
      <w:r>
        <w:t xml:space="preserve">Ten weeks total: one setup week, four two-week sprints (matching the SRS's own recommended Agile/Scrum cadence), and one hardening/UAT week. Dates below assume a start on Monday, August 3, 2026 — shift everything by the same number of days if the real start date differs; the sprint content and order do not change.</w:t>
      </w:r>
    </w:p>
    <w:p>
      <w:pPr>
        <w:spacing w:after="120"/>
      </w:pPr>
      <w:r>
        <w:t xml:space="preserve">Each sprint lists what each of the four people works on. Tasks inside one person's row are meant to be done as small, separate branches/PRs (see the companion GitHub guide) rather than one giant branch per sprint — this keeps reviews short and conflicts rare.</w:t>
      </w:r>
    </w:p>
    <w:p>
      <w:pPr>
        <w:pStyle w:val="Heading3"/>
        <w:spacing w:after="100" w:before="200"/>
      </w:pPr>
      <w:r>
        <w:t xml:space="preserve">Week 0 — Kickoff and Setup (Aug 3 – Aug 7)</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rPr>
          <w:tblHeader/>
        </w:trPr>
        <w:tc>
          <w:tcPr>
            <w:tcW w:type="dxa" w:w="2000"/>
            <w:shd w:fill="1F3864" w:val="clear"/>
            <w:tcMar>
              <w:top w:type="dxa" w:w="60"/>
              <w:left w:type="dxa" w:w="100"/>
              <w:bottom w:type="dxa" w:w="60"/>
              <w:right w:type="dxa" w:w="100"/>
            </w:tcMar>
          </w:tcPr>
          <w:p>
            <w:pPr>
              <w:jc w:val="left"/>
            </w:pPr>
            <w:r>
              <w:rPr>
                <w:b/>
                <w:bCs/>
                <w:color w:val="FFFFFF"/>
                <w:sz w:val="20"/>
                <w:szCs w:val="20"/>
              </w:rPr>
              <w:t xml:space="preserve">Everyone</w:t>
            </w:r>
          </w:p>
        </w:tc>
        <w:tc>
          <w:tcPr>
            <w:tcW w:type="dxa" w:w="6640"/>
            <w:shd w:fill="1F3864" w:val="clear"/>
            <w:tcMar>
              <w:top w:type="dxa" w:w="60"/>
              <w:left w:type="dxa" w:w="100"/>
              <w:bottom w:type="dxa" w:w="60"/>
              <w:right w:type="dxa" w:w="100"/>
            </w:tcMar>
          </w:tcPr>
          <w:p>
            <w:pPr>
              <w:jc w:val="left"/>
            </w:pPr>
            <w:r>
              <w:rPr>
                <w:b/>
                <w:bCs/>
                <w:color w:val="FFFFFF"/>
                <w:sz w:val="20"/>
                <w:szCs w:val="20"/>
              </w:rPr>
              <w:t xml:space="preserve">Tasks</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All four</w:t>
            </w:r>
          </w:p>
        </w:tc>
        <w:tc>
          <w:tcPr>
            <w:tcW w:type="dxa" w:w="6640"/>
            <w:tcMar>
              <w:top w:type="dxa" w:w="60"/>
              <w:left w:type="dxa" w:w="100"/>
              <w:bottom w:type="dxa" w:w="60"/>
              <w:right w:type="dxa" w:w="100"/>
            </w:tcMar>
          </w:tcPr>
          <w:p>
            <w:pPr>
              <w:spacing w:after="60"/>
            </w:pPr>
            <w:r>
              <w:rPr>
                <w:sz w:val="19"/>
                <w:szCs w:val="19"/>
              </w:rPr>
              <w:t xml:space="preserve">• Read this document and the companion GitHub guide together, in one sitting.</w:t>
            </w:r>
          </w:p>
          <w:p>
            <w:pPr>
              <w:spacing w:after="60"/>
            </w:pPr>
            <w:r>
              <w:rPr>
                <w:sz w:val="19"/>
                <w:szCs w:val="19"/>
              </w:rPr>
              <w:t xml:space="preserve">• Set up local dev environments against the existing Quantro codebase (composer install, npm install, .env, migrate + seed a local tenant).</w:t>
            </w:r>
          </w:p>
          <w:p>
            <w:pPr>
              <w:spacing w:after="60"/>
            </w:pPr>
            <w:r>
              <w:rPr>
                <w:sz w:val="19"/>
                <w:szCs w:val="19"/>
              </w:rPr>
              <w:t xml:space="preserve">• Create the GitHub repository and each person's access (see companion guide, §1–2).</w:t>
            </w:r>
          </w:p>
          <w:p>
            <w:pPr>
              <w:spacing w:after="60"/>
            </w:pPr>
            <w:r>
              <w:rPr>
                <w:sz w:val="19"/>
                <w:szCs w:val="19"/>
              </w:rPr>
              <w:t xml:space="preserve">• Freeze the reference dictionaries from §4.1 as a shared checklist: exact metal names, karat list, stone type list, making-charge method names, wastage method names, item-type names — agree these once so nobody invents a second spelling mid-sprint.</w:t>
            </w:r>
          </w:p>
          <w:p>
            <w:pPr>
              <w:spacing w:after="0"/>
            </w:pPr>
            <w:r>
              <w:rPr>
                <w:sz w:val="19"/>
                <w:szCs w:val="19"/>
              </w:rPr>
              <w:t xml:space="preserve">• Create GitHub Issues for every task in Sprints 1–4 below (one issue per bullet is the right granularity), labelled by sprint and by owner.</w:t>
            </w:r>
          </w:p>
        </w:tc>
      </w:tr>
    </w:tbl>
    <w:p>
      <w:pPr>
        <w:pStyle w:val="Heading3"/>
        <w:spacing w:after="100" w:before="200"/>
      </w:pPr>
      <w:r>
        <w:t xml:space="preserve">Sprint 1 — Database and Backend Foundations (Aug 10 – Aug 21)</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rPr>
          <w:tblHeader/>
        </w:trPr>
        <w:tc>
          <w:tcPr>
            <w:tcW w:type="dxa" w:w="2000"/>
            <w:shd w:fill="1F3864" w:val="clear"/>
            <w:tcMar>
              <w:top w:type="dxa" w:w="60"/>
              <w:left w:type="dxa" w:w="100"/>
              <w:bottom w:type="dxa" w:w="60"/>
              <w:right w:type="dxa" w:w="100"/>
            </w:tcMar>
          </w:tcPr>
          <w:p>
            <w:pPr>
              <w:jc w:val="left"/>
            </w:pPr>
            <w:r>
              <w:rPr>
                <w:b/>
                <w:bCs/>
                <w:color w:val="FFFFFF"/>
                <w:sz w:val="20"/>
                <w:szCs w:val="20"/>
              </w:rPr>
              <w:t xml:space="preserve">Person</w:t>
            </w:r>
          </w:p>
        </w:tc>
        <w:tc>
          <w:tcPr>
            <w:tcW w:type="dxa" w:w="6640"/>
            <w:shd w:fill="1F3864" w:val="clear"/>
            <w:tcMar>
              <w:top w:type="dxa" w:w="60"/>
              <w:left w:type="dxa" w:w="100"/>
              <w:bottom w:type="dxa" w:w="60"/>
              <w:right w:type="dxa" w:w="100"/>
            </w:tcMar>
          </w:tcPr>
          <w:p>
            <w:pPr>
              <w:jc w:val="left"/>
            </w:pPr>
            <w:r>
              <w:rPr>
                <w:b/>
                <w:bCs/>
                <w:color w:val="FFFFFF"/>
                <w:sz w:val="20"/>
                <w:szCs w:val="20"/>
              </w:rPr>
              <w:t xml:space="preserve">Tasks</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Person 1</w:t>
            </w:r>
          </w:p>
        </w:tc>
        <w:tc>
          <w:tcPr>
            <w:tcW w:type="dxa" w:w="6640"/>
            <w:tcMar>
              <w:top w:type="dxa" w:w="60"/>
              <w:left w:type="dxa" w:w="100"/>
              <w:bottom w:type="dxa" w:w="60"/>
              <w:right w:type="dxa" w:w="100"/>
            </w:tcMar>
          </w:tcPr>
          <w:p>
            <w:pPr>
              <w:spacing w:after="60"/>
            </w:pPr>
            <w:r>
              <w:rPr>
                <w:sz w:val="19"/>
                <w:szCs w:val="19"/>
              </w:rPr>
              <w:t xml:space="preserve">• Migration + model + seeder for metal_types, karats, stone_types (§4.1).</w:t>
            </w:r>
          </w:p>
          <w:p>
            <w:pPr>
              <w:spacing w:after="60"/>
            </w:pPr>
            <w:r>
              <w:rPr>
                <w:sz w:val="19"/>
                <w:szCs w:val="19"/>
              </w:rPr>
              <w:t xml:space="preserve">• Migration adding all jewelry_* columns to products, guarded with Schema::hasColumn() (§4.2).</w:t>
            </w:r>
          </w:p>
          <w:p>
            <w:pPr>
              <w:spacing w:after="60"/>
            </w:pPr>
            <w:r>
              <w:rPr>
                <w:sz w:val="19"/>
                <w:szCs w:val="19"/>
              </w:rPr>
              <w:t xml:space="preserve">• Migration + model for item_stones (§4.3).</w:t>
            </w:r>
          </w:p>
          <w:p>
            <w:pPr>
              <w:spacing w:after="60"/>
            </w:pPr>
            <w:r>
              <w:rPr>
                <w:sz w:val="19"/>
                <w:szCs w:val="19"/>
              </w:rPr>
              <w:t xml:space="preserve">• Migration adding jewelry_mode + defaults to settings, and the two new pos_settings columns (§4.6); add the keys to Setting::$fillable/$casts and PosSetting's equivalent.</w:t>
            </w:r>
          </w:p>
          <w:p>
            <w:pPr>
              <w:spacing w:after="0"/>
            </w:pPr>
            <w:r>
              <w:rPr>
                <w:sz w:val="19"/>
                <w:szCs w:val="19"/>
              </w:rPr>
              <w:t xml:space="preserve">• Add and seed the five new permissions (§8.1) plus PermissionRoleSeeder wiring.</w:t>
            </w:r>
          </w:p>
        </w:tc>
      </w:tr>
      <w:tr>
        <w:tc>
          <w:tcPr>
            <w:tcW w:type="dxa" w:w="2000"/>
            <w:shd w:fill="F5F5F5" w:val="clear"/>
            <w:tcMar>
              <w:top w:type="dxa" w:w="60"/>
              <w:left w:type="dxa" w:w="100"/>
              <w:bottom w:type="dxa" w:w="60"/>
              <w:right w:type="dxa" w:w="100"/>
            </w:tcMar>
          </w:tcPr>
          <w:p>
            <w:pPr>
              <w:jc w:val="left"/>
            </w:pPr>
            <w:r>
              <w:rPr>
                <w:b w:val="false"/>
                <w:bCs w:val="false"/>
                <w:color w:val="000000"/>
                <w:sz w:val="20"/>
                <w:szCs w:val="20"/>
              </w:rPr>
              <w:t xml:space="preserve">Person 2</w:t>
            </w:r>
          </w:p>
        </w:tc>
        <w:tc>
          <w:tcPr>
            <w:tcW w:type="dxa" w:w="6640"/>
            <w:shd w:fill="F5F5F5" w:val="clear"/>
            <w:tcMar>
              <w:top w:type="dxa" w:w="60"/>
              <w:left w:type="dxa" w:w="100"/>
              <w:bottom w:type="dxa" w:w="60"/>
              <w:right w:type="dxa" w:w="100"/>
            </w:tcMar>
          </w:tcPr>
          <w:p>
            <w:pPr>
              <w:spacing w:after="60"/>
            </w:pPr>
            <w:r>
              <w:rPr>
                <w:sz w:val="19"/>
                <w:szCs w:val="19"/>
              </w:rPr>
              <w:t xml:space="preserve">• Migration + model for gold_rates (§4.4).</w:t>
            </w:r>
          </w:p>
          <w:p>
            <w:pPr>
              <w:spacing w:after="60"/>
            </w:pPr>
            <w:r>
              <w:rPr>
                <w:sz w:val="19"/>
                <w:szCs w:val="19"/>
              </w:rPr>
              <w:t xml:space="preserve">• Migration adding the snapshot columns to sale_details (§4.5).</w:t>
            </w:r>
          </w:p>
          <w:p>
            <w:pPr>
              <w:spacing w:after="0"/>
            </w:pPr>
            <w:r>
              <w:rPr>
                <w:sz w:val="19"/>
                <w:szCs w:val="19"/>
              </w:rPr>
              <w:t xml:space="preserve">• Build GoldRateService skeleton (§5.2): setRate(), getCurrentRate(), history() with unit tests covering “latest rate wins” and “branch override beats company-wide rate.”</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Person 3</w:t>
            </w:r>
          </w:p>
        </w:tc>
        <w:tc>
          <w:tcPr>
            <w:tcW w:type="dxa" w:w="6640"/>
            <w:tcMar>
              <w:top w:type="dxa" w:w="60"/>
              <w:left w:type="dxa" w:w="100"/>
              <w:bottom w:type="dxa" w:w="60"/>
              <w:right w:type="dxa" w:w="100"/>
            </w:tcMar>
          </w:tcPr>
          <w:p>
            <w:pPr>
              <w:spacing w:after="60"/>
            </w:pPr>
            <w:r>
              <w:rPr>
                <w:sz w:val="19"/>
                <w:szCs w:val="19"/>
              </w:rPr>
              <w:t xml:space="preserve">• Spike task: locate and document the exact Vue component paths for the Products screen and POS screen in resources/src/ — this becomes the map everyone else in Sprints 2–4 uses.</w:t>
            </w:r>
          </w:p>
          <w:p>
            <w:pPr>
              <w:spacing w:after="0"/>
            </w:pPr>
            <w:r>
              <w:rPr>
                <w:sz w:val="19"/>
                <w:szCs w:val="19"/>
              </w:rPr>
              <w:t xml:space="preserve">• Build the JewelryModeGate check (§5.1) and confirm it can hide/show a dummy UI section end to end (proves the on/off switch works before real screens are built on top of it).</w:t>
            </w:r>
          </w:p>
        </w:tc>
      </w:tr>
      <w:tr>
        <w:tc>
          <w:tcPr>
            <w:tcW w:type="dxa" w:w="2000"/>
            <w:shd w:fill="F5F5F5" w:val="clear"/>
            <w:tcMar>
              <w:top w:type="dxa" w:w="60"/>
              <w:left w:type="dxa" w:w="100"/>
              <w:bottom w:type="dxa" w:w="60"/>
              <w:right w:type="dxa" w:w="100"/>
            </w:tcMar>
          </w:tcPr>
          <w:p>
            <w:pPr>
              <w:jc w:val="left"/>
            </w:pPr>
            <w:r>
              <w:rPr>
                <w:b w:val="false"/>
                <w:bCs w:val="false"/>
                <w:color w:val="000000"/>
                <w:sz w:val="20"/>
                <w:szCs w:val="20"/>
              </w:rPr>
              <w:t xml:space="preserve">Person 4</w:t>
            </w:r>
          </w:p>
        </w:tc>
        <w:tc>
          <w:tcPr>
            <w:tcW w:type="dxa" w:w="6640"/>
            <w:shd w:fill="F5F5F5" w:val="clear"/>
            <w:tcMar>
              <w:top w:type="dxa" w:w="60"/>
              <w:left w:type="dxa" w:w="100"/>
              <w:bottom w:type="dxa" w:w="60"/>
              <w:right w:type="dxa" w:w="100"/>
            </w:tcMar>
          </w:tcPr>
          <w:p>
            <w:pPr>
              <w:spacing w:after="60"/>
            </w:pPr>
            <w:r>
              <w:rPr>
                <w:sz w:val="19"/>
                <w:szCs w:val="19"/>
              </w:rPr>
              <w:t xml:space="preserve">• Extend product_serials/product_serial_movements with piece_weight and karat_id (§5.4, serialized branch).</w:t>
            </w:r>
          </w:p>
          <w:p>
            <w:pPr>
              <w:spacing w:after="60"/>
            </w:pPr>
            <w:r>
              <w:rPr>
                <w:sz w:val="19"/>
                <w:szCs w:val="19"/>
              </w:rPr>
              <w:t xml:space="preserve">• Migration adding available_weight to product_warehouse and the new product_weight_movements table (§5.4, weighted branch).</w:t>
            </w:r>
          </w:p>
          <w:p>
            <w:pPr>
              <w:spacing w:after="0"/>
            </w:pPr>
            <w:r>
              <w:rPr>
                <w:sz w:val="19"/>
                <w:szCs w:val="19"/>
              </w:rPr>
              <w:t xml:space="preserve">• Write the multi-tenant isolation regression test: confirm a second tenant's database has none of the new tables/columns behaving unexpectedly, and that jewelry_mode off means zero visible change for a non-jewelry tenant.</w:t>
            </w:r>
          </w:p>
        </w:tc>
      </w:tr>
    </w:tbl>
    <w:p>
      <w:pPr>
        <w:spacing w:after="120"/>
      </w:pPr>
      <w:r>
        <w:t xml:space="preserve">Sprint 1 exit criteria: every new table/column exists and is seeded in a local environment; jewelry_mode can be toggled with no visible effect on any existing screen when off; GoldRateService passes its unit tests.</w:t>
      </w:r>
    </w:p>
    <w:p>
      <w:pPr>
        <w:pStyle w:val="Heading3"/>
        <w:spacing w:after="100" w:before="200"/>
      </w:pPr>
      <w:r>
        <w:t xml:space="preserve">Sprint 2 — Gold Rate Module and Pricing Engine (Aug 24 – Sep 4)</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rPr>
          <w:tblHeader/>
        </w:trPr>
        <w:tc>
          <w:tcPr>
            <w:tcW w:type="dxa" w:w="2000"/>
            <w:shd w:fill="1F3864" w:val="clear"/>
            <w:tcMar>
              <w:top w:type="dxa" w:w="60"/>
              <w:left w:type="dxa" w:w="100"/>
              <w:bottom w:type="dxa" w:w="60"/>
              <w:right w:type="dxa" w:w="100"/>
            </w:tcMar>
          </w:tcPr>
          <w:p>
            <w:pPr>
              <w:jc w:val="left"/>
            </w:pPr>
            <w:r>
              <w:rPr>
                <w:b/>
                <w:bCs/>
                <w:color w:val="FFFFFF"/>
                <w:sz w:val="20"/>
                <w:szCs w:val="20"/>
              </w:rPr>
              <w:t xml:space="preserve">Person</w:t>
            </w:r>
          </w:p>
        </w:tc>
        <w:tc>
          <w:tcPr>
            <w:tcW w:type="dxa" w:w="6640"/>
            <w:shd w:fill="1F3864" w:val="clear"/>
            <w:tcMar>
              <w:top w:type="dxa" w:w="60"/>
              <w:left w:type="dxa" w:w="100"/>
              <w:bottom w:type="dxa" w:w="60"/>
              <w:right w:type="dxa" w:w="100"/>
            </w:tcMar>
          </w:tcPr>
          <w:p>
            <w:pPr>
              <w:jc w:val="left"/>
            </w:pPr>
            <w:r>
              <w:rPr>
                <w:b/>
                <w:bCs/>
                <w:color w:val="FFFFFF"/>
                <w:sz w:val="20"/>
                <w:szCs w:val="20"/>
              </w:rPr>
              <w:t xml:space="preserve">Tasks</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Person 1</w:t>
            </w:r>
          </w:p>
        </w:tc>
        <w:tc>
          <w:tcPr>
            <w:tcW w:type="dxa" w:w="6640"/>
            <w:tcMar>
              <w:top w:type="dxa" w:w="60"/>
              <w:left w:type="dxa" w:w="100"/>
              <w:bottom w:type="dxa" w:w="60"/>
              <w:right w:type="dxa" w:w="100"/>
            </w:tcMar>
          </w:tcPr>
          <w:p>
            <w:pPr>
              <w:spacing w:after="60"/>
            </w:pPr>
            <w:r>
              <w:rPr>
                <w:sz w:val="19"/>
                <w:szCs w:val="19"/>
              </w:rPr>
              <w:t xml:space="preserve">• Item validation rules from §4.2 (weights non-negative, metal weight ≤ gross weight, karat required for gold, duplicate serial/certificate detection) as a FormRequest.</w:t>
            </w:r>
          </w:p>
          <w:p>
            <w:pPr>
              <w:spacing w:after="60"/>
            </w:pPr>
            <w:r>
              <w:rPr>
                <w:sz w:val="19"/>
                <w:szCs w:val="19"/>
              </w:rPr>
              <w:t xml:space="preserve">• GoldRatePolicy and JewelryPricingPolicy classes wired to the new permissions.</w:t>
            </w:r>
          </w:p>
          <w:p>
            <w:pPr>
              <w:spacing w:after="0"/>
            </w:pPr>
            <w:r>
              <w:rPr>
                <w:sz w:val="19"/>
                <w:szCs w:val="19"/>
              </w:rPr>
              <w:t xml:space="preserve">• API resource/transformer for the extended product payload (jewelry_* fields + nested stones).</w:t>
            </w:r>
          </w:p>
        </w:tc>
      </w:tr>
      <w:tr>
        <w:tc>
          <w:tcPr>
            <w:tcW w:type="dxa" w:w="2000"/>
            <w:shd w:fill="F5F5F5" w:val="clear"/>
            <w:tcMar>
              <w:top w:type="dxa" w:w="60"/>
              <w:left w:type="dxa" w:w="100"/>
              <w:bottom w:type="dxa" w:w="60"/>
              <w:right w:type="dxa" w:w="100"/>
            </w:tcMar>
          </w:tcPr>
          <w:p>
            <w:pPr>
              <w:jc w:val="left"/>
            </w:pPr>
            <w:r>
              <w:rPr>
                <w:b w:val="false"/>
                <w:bCs w:val="false"/>
                <w:color w:val="000000"/>
                <w:sz w:val="20"/>
                <w:szCs w:val="20"/>
              </w:rPr>
              <w:t xml:space="preserve">Person 2</w:t>
            </w:r>
          </w:p>
        </w:tc>
        <w:tc>
          <w:tcPr>
            <w:tcW w:type="dxa" w:w="6640"/>
            <w:shd w:fill="F5F5F5" w:val="clear"/>
            <w:tcMar>
              <w:top w:type="dxa" w:w="60"/>
              <w:left w:type="dxa" w:w="100"/>
              <w:bottom w:type="dxa" w:w="60"/>
              <w:right w:type="dxa" w:w="100"/>
            </w:tcMar>
          </w:tcPr>
          <w:p>
            <w:pPr>
              <w:spacing w:after="60"/>
            </w:pPr>
            <w:r>
              <w:rPr>
                <w:sz w:val="19"/>
                <w:szCs w:val="19"/>
              </w:rPr>
              <w:t xml:space="preserve">• Build JewelryPricingService in full (§5.3): metal value, wastage, making charge (all five methods), stone value, markup/discount/tax, returning the structured breakdown object.</w:t>
            </w:r>
          </w:p>
          <w:p>
            <w:pPr>
              <w:spacing w:after="60"/>
            </w:pPr>
            <w:r>
              <w:rPr>
                <w:sz w:val="19"/>
                <w:szCs w:val="19"/>
              </w:rPr>
              <w:t xml:space="preserve">• Unit tests per making-charge method and per wastage method, plus a test proving preview() and priceForSale() produce identical numbers for identical inputs.</w:t>
            </w:r>
          </w:p>
          <w:p>
            <w:pPr>
              <w:spacing w:after="0"/>
            </w:pPr>
            <w:r>
              <w:rPr>
                <w:sz w:val="19"/>
                <w:szCs w:val="19"/>
              </w:rPr>
              <w:t xml:space="preserve">• POST /api/v1/pricing/preview endpoint.</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Person 3</w:t>
            </w:r>
          </w:p>
        </w:tc>
        <w:tc>
          <w:tcPr>
            <w:tcW w:type="dxa" w:w="6640"/>
            <w:tcMar>
              <w:top w:type="dxa" w:w="60"/>
              <w:left w:type="dxa" w:w="100"/>
              <w:bottom w:type="dxa" w:w="60"/>
              <w:right w:type="dxa" w:w="100"/>
            </w:tcMar>
          </w:tcPr>
          <w:p>
            <w:pPr>
              <w:spacing w:after="60"/>
            </w:pPr>
            <w:r>
              <w:rPr>
                <w:sz w:val="19"/>
                <w:szCs w:val="19"/>
              </w:rPr>
              <w:t xml:space="preserve">• Build the Gold Rate management screen (§7.3): rate table, “enter today's rate” form, history view, wired to the gold-rates endpoints.</w:t>
            </w:r>
          </w:p>
          <w:p>
            <w:pPr>
              <w:spacing w:after="0"/>
            </w:pPr>
            <w:r>
              <w:rPr>
                <w:sz w:val="19"/>
                <w:szCs w:val="19"/>
              </w:rPr>
              <w:t xml:space="preserve">• Build the shared PricingPreview.vue component against the new preview endpoint (used again in Sprints 3 and 4 — build it once here).</w:t>
            </w:r>
          </w:p>
        </w:tc>
      </w:tr>
      <w:tr>
        <w:tc>
          <w:tcPr>
            <w:tcW w:type="dxa" w:w="2000"/>
            <w:shd w:fill="F5F5F5" w:val="clear"/>
            <w:tcMar>
              <w:top w:type="dxa" w:w="60"/>
              <w:left w:type="dxa" w:w="100"/>
              <w:bottom w:type="dxa" w:w="60"/>
              <w:right w:type="dxa" w:w="100"/>
            </w:tcMar>
          </w:tcPr>
          <w:p>
            <w:pPr>
              <w:jc w:val="left"/>
            </w:pPr>
            <w:r>
              <w:rPr>
                <w:b w:val="false"/>
                <w:bCs w:val="false"/>
                <w:color w:val="000000"/>
                <w:sz w:val="20"/>
                <w:szCs w:val="20"/>
              </w:rPr>
              <w:t xml:space="preserve">Person 4</w:t>
            </w:r>
          </w:p>
        </w:tc>
        <w:tc>
          <w:tcPr>
            <w:tcW w:type="dxa" w:w="6640"/>
            <w:shd w:fill="F5F5F5" w:val="clear"/>
            <w:tcMar>
              <w:top w:type="dxa" w:w="60"/>
              <w:left w:type="dxa" w:w="100"/>
              <w:bottom w:type="dxa" w:w="60"/>
              <w:right w:type="dxa" w:w="100"/>
            </w:tcMar>
          </w:tcPr>
          <w:p>
            <w:pPr>
              <w:spacing w:after="60"/>
            </w:pPr>
            <w:r>
              <w:rPr>
                <w:sz w:val="19"/>
                <w:szCs w:val="19"/>
              </w:rPr>
              <w:t xml:space="preserve">• GET /api/v1/inventory/balances and /inventory/movements endpoints, weight-aware.</w:t>
            </w:r>
          </w:p>
          <w:p>
            <w:pPr>
              <w:spacing w:after="60"/>
            </w:pPr>
            <w:r>
              <w:rPr>
                <w:sz w:val="19"/>
                <w:szCs w:val="19"/>
              </w:rPr>
              <w:t xml:space="preserve">• Weight movement logging wired into a manual “receive stock” and “transfer between locations” action, as a backend-only slice (UI comes in Sprint 4).</w:t>
            </w:r>
          </w:p>
          <w:p>
            <w:pPr>
              <w:spacing w:after="0"/>
            </w:pPr>
            <w:r>
              <w:rPr>
                <w:sz w:val="19"/>
                <w:szCs w:val="19"/>
              </w:rPr>
              <w:t xml:space="preserve">• Start the karat-wise sales report and stock valuation report query logic (no UI yet).</w:t>
            </w:r>
          </w:p>
        </w:tc>
      </w:tr>
    </w:tbl>
    <w:p>
      <w:pPr>
        <w:spacing w:after="120"/>
      </w:pPr>
      <w:r>
        <w:t xml:space="preserve">Sprint 2 exit criteria: entering a gold rate and calling the pricing preview for a real seeded item returns a correct, fully itemized price breakdown; this can be demoed via Postman/API client even before any new screen exists.</w:t>
      </w:r>
    </w:p>
    <w:p>
      <w:pPr>
        <w:pStyle w:val="Heading3"/>
        <w:spacing w:after="100" w:before="200"/>
      </w:pPr>
      <w:r>
        <w:t xml:space="preserve">Sprint 3 — Item Screens and Item List (Sep 7 – Sep 18)</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rPr>
          <w:tblHeader/>
        </w:trPr>
        <w:tc>
          <w:tcPr>
            <w:tcW w:type="dxa" w:w="2000"/>
            <w:shd w:fill="1F3864" w:val="clear"/>
            <w:tcMar>
              <w:top w:type="dxa" w:w="60"/>
              <w:left w:type="dxa" w:w="100"/>
              <w:bottom w:type="dxa" w:w="60"/>
              <w:right w:type="dxa" w:w="100"/>
            </w:tcMar>
          </w:tcPr>
          <w:p>
            <w:pPr>
              <w:jc w:val="left"/>
            </w:pPr>
            <w:r>
              <w:rPr>
                <w:b/>
                <w:bCs/>
                <w:color w:val="FFFFFF"/>
                <w:sz w:val="20"/>
                <w:szCs w:val="20"/>
              </w:rPr>
              <w:t xml:space="preserve">Person</w:t>
            </w:r>
          </w:p>
        </w:tc>
        <w:tc>
          <w:tcPr>
            <w:tcW w:type="dxa" w:w="6640"/>
            <w:shd w:fill="1F3864" w:val="clear"/>
            <w:tcMar>
              <w:top w:type="dxa" w:w="60"/>
              <w:left w:type="dxa" w:w="100"/>
              <w:bottom w:type="dxa" w:w="60"/>
              <w:right w:type="dxa" w:w="100"/>
            </w:tcMar>
          </w:tcPr>
          <w:p>
            <w:pPr>
              <w:jc w:val="left"/>
            </w:pPr>
            <w:r>
              <w:rPr>
                <w:b/>
                <w:bCs/>
                <w:color w:val="FFFFFF"/>
                <w:sz w:val="20"/>
                <w:szCs w:val="20"/>
              </w:rPr>
              <w:t xml:space="preserve">Tasks</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Person 1</w:t>
            </w:r>
          </w:p>
        </w:tc>
        <w:tc>
          <w:tcPr>
            <w:tcW w:type="dxa" w:w="6640"/>
            <w:tcMar>
              <w:top w:type="dxa" w:w="60"/>
              <w:left w:type="dxa" w:w="100"/>
              <w:bottom w:type="dxa" w:w="60"/>
              <w:right w:type="dxa" w:w="100"/>
            </w:tcMar>
          </w:tcPr>
          <w:p>
            <w:pPr>
              <w:spacing w:after="60"/>
            </w:pPr>
            <w:r>
              <w:rPr>
                <w:sz w:val="19"/>
                <w:szCs w:val="19"/>
              </w:rPr>
              <w:t xml:space="preserve">• Support Person 3 with any backend field/validation gaps found while wiring the real form.</w:t>
            </w:r>
          </w:p>
          <w:p>
            <w:pPr>
              <w:spacing w:after="0"/>
            </w:pPr>
            <w:r>
              <w:rPr>
                <w:sz w:val="19"/>
                <w:szCs w:val="19"/>
              </w:rPr>
              <w:t xml:space="preserve">• Finish the karat/metal/stone-type admin CRUD screens (simple settings-style list pages) if not already covered by a generic admin table.</w:t>
            </w:r>
          </w:p>
        </w:tc>
      </w:tr>
      <w:tr>
        <w:tc>
          <w:tcPr>
            <w:tcW w:type="dxa" w:w="2000"/>
            <w:shd w:fill="F5F5F5" w:val="clear"/>
            <w:tcMar>
              <w:top w:type="dxa" w:w="60"/>
              <w:left w:type="dxa" w:w="100"/>
              <w:bottom w:type="dxa" w:w="60"/>
              <w:right w:type="dxa" w:w="100"/>
            </w:tcMar>
          </w:tcPr>
          <w:p>
            <w:pPr>
              <w:jc w:val="left"/>
            </w:pPr>
            <w:r>
              <w:rPr>
                <w:b w:val="false"/>
                <w:bCs w:val="false"/>
                <w:color w:val="000000"/>
                <w:sz w:val="20"/>
                <w:szCs w:val="20"/>
              </w:rPr>
              <w:t xml:space="preserve">Person 2</w:t>
            </w:r>
          </w:p>
        </w:tc>
        <w:tc>
          <w:tcPr>
            <w:tcW w:type="dxa" w:w="6640"/>
            <w:shd w:fill="F5F5F5" w:val="clear"/>
            <w:tcMar>
              <w:top w:type="dxa" w:w="60"/>
              <w:left w:type="dxa" w:w="100"/>
              <w:bottom w:type="dxa" w:w="60"/>
              <w:right w:type="dxa" w:w="100"/>
            </w:tcMar>
          </w:tcPr>
          <w:p>
            <w:pPr>
              <w:spacing w:after="60"/>
            </w:pPr>
            <w:r>
              <w:rPr>
                <w:sz w:val="19"/>
                <w:szCs w:val="19"/>
              </w:rPr>
              <w:t xml:space="preserve">• Expose the making-charge/wastage default settings via API for the settings screen.</w:t>
            </w:r>
          </w:p>
          <w:p>
            <w:pPr>
              <w:spacing w:after="0"/>
            </w:pPr>
            <w:r>
              <w:rPr>
                <w:sz w:val="19"/>
                <w:szCs w:val="19"/>
              </w:rPr>
              <w:t xml:space="preserve">• Support the pricing preview integration inside the item form (edge cases: no rate configured yet, missing weight, etc. — decide and implement the correct error/blank states).</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Person 3</w:t>
            </w:r>
          </w:p>
        </w:tc>
        <w:tc>
          <w:tcPr>
            <w:tcW w:type="dxa" w:w="6640"/>
            <w:tcMar>
              <w:top w:type="dxa" w:w="60"/>
              <w:left w:type="dxa" w:w="100"/>
              <w:bottom w:type="dxa" w:w="60"/>
              <w:right w:type="dxa" w:w="100"/>
            </w:tcMar>
          </w:tcPr>
          <w:p>
            <w:pPr>
              <w:spacing w:after="60"/>
            </w:pPr>
            <w:r>
              <w:rPr>
                <w:sz w:val="19"/>
                <w:szCs w:val="19"/>
              </w:rPr>
              <w:t xml:space="preserve">• Item creation/editing: add the six new form sections from §7.1 to the existing product form, each gated by is_jewelry_item.</w:t>
            </w:r>
          </w:p>
          <w:p>
            <w:pPr>
              <w:spacing w:after="60"/>
            </w:pPr>
            <w:r>
              <w:rPr>
                <w:sz w:val="19"/>
                <w:szCs w:val="19"/>
              </w:rPr>
              <w:t xml:space="preserve">• Item list: add the new filters from §7.2.</w:t>
            </w:r>
          </w:p>
          <w:p>
            <w:pPr>
              <w:spacing w:after="0"/>
            </w:pPr>
            <w:r>
              <w:rPr>
                <w:sz w:val="19"/>
                <w:szCs w:val="19"/>
              </w:rPr>
              <w:t xml:space="preserve">• Item details: show gold/stone specification, current price, rate used, movement history (§7.2).</w:t>
            </w:r>
          </w:p>
        </w:tc>
      </w:tr>
      <w:tr>
        <w:tc>
          <w:tcPr>
            <w:tcW w:type="dxa" w:w="2000"/>
            <w:shd w:fill="F5F5F5" w:val="clear"/>
            <w:tcMar>
              <w:top w:type="dxa" w:w="60"/>
              <w:left w:type="dxa" w:w="100"/>
              <w:bottom w:type="dxa" w:w="60"/>
              <w:right w:type="dxa" w:w="100"/>
            </w:tcMar>
          </w:tcPr>
          <w:p>
            <w:pPr>
              <w:jc w:val="left"/>
            </w:pPr>
            <w:r>
              <w:rPr>
                <w:b w:val="false"/>
                <w:bCs w:val="false"/>
                <w:color w:val="000000"/>
                <w:sz w:val="20"/>
                <w:szCs w:val="20"/>
              </w:rPr>
              <w:t xml:space="preserve">Person 4</w:t>
            </w:r>
          </w:p>
        </w:tc>
        <w:tc>
          <w:tcPr>
            <w:tcW w:type="dxa" w:w="6640"/>
            <w:shd w:fill="F5F5F5" w:val="clear"/>
            <w:tcMar>
              <w:top w:type="dxa" w:w="60"/>
              <w:left w:type="dxa" w:w="100"/>
              <w:bottom w:type="dxa" w:w="60"/>
              <w:right w:type="dxa" w:w="100"/>
            </w:tcMar>
          </w:tcPr>
          <w:p>
            <w:pPr>
              <w:spacing w:after="60"/>
            </w:pPr>
            <w:r>
              <w:rPr>
                <w:sz w:val="19"/>
                <w:szCs w:val="19"/>
              </w:rPr>
              <w:t xml:space="preserve">• Finish the “Jewelry” settings tab (§8.2).</w:t>
            </w:r>
          </w:p>
          <w:p>
            <w:pPr>
              <w:spacing w:after="60"/>
            </w:pPr>
            <w:r>
              <w:rPr>
                <w:sz w:val="19"/>
                <w:szCs w:val="19"/>
              </w:rPr>
              <w:t xml:space="preserve">• Finish karat-wise sales report and stock valuation report UI/export (§8.3).</w:t>
            </w:r>
          </w:p>
          <w:p>
            <w:pPr>
              <w:spacing w:after="0"/>
            </w:pPr>
            <w:r>
              <w:rPr>
                <w:sz w:val="19"/>
                <w:szCs w:val="19"/>
              </w:rPr>
              <w:t xml:space="preserve">• Begin writing the full regression test checklist for Sprint 5 (existing, non-jewelry flows that must still work unchanged).</w:t>
            </w:r>
          </w:p>
        </w:tc>
      </w:tr>
    </w:tbl>
    <w:p>
      <w:pPr>
        <w:spacing w:after="120"/>
      </w:pPr>
      <w:r>
        <w:t xml:space="preserve">Sprint 3 exit criteria: a jewelry item can be created end-to-end through the UI with a correct live price preview, and shows correctly in the list/detail screens with all new filters working.</w:t>
      </w:r>
    </w:p>
    <w:p>
      <w:pPr>
        <w:pStyle w:val="Heading3"/>
        <w:spacing w:after="100" w:before="200"/>
      </w:pPr>
      <w:r>
        <w:t xml:space="preserve">Sprint 4 — POS, Invoicing and Weight-Based Inventory UI (Sep 21 – Oct 2)</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rPr>
          <w:tblHeader/>
        </w:trPr>
        <w:tc>
          <w:tcPr>
            <w:tcW w:type="dxa" w:w="2000"/>
            <w:shd w:fill="1F3864" w:val="clear"/>
            <w:tcMar>
              <w:top w:type="dxa" w:w="60"/>
              <w:left w:type="dxa" w:w="100"/>
              <w:bottom w:type="dxa" w:w="60"/>
              <w:right w:type="dxa" w:w="100"/>
            </w:tcMar>
          </w:tcPr>
          <w:p>
            <w:pPr>
              <w:jc w:val="left"/>
            </w:pPr>
            <w:r>
              <w:rPr>
                <w:b/>
                <w:bCs/>
                <w:color w:val="FFFFFF"/>
                <w:sz w:val="20"/>
                <w:szCs w:val="20"/>
              </w:rPr>
              <w:t xml:space="preserve">Person</w:t>
            </w:r>
          </w:p>
        </w:tc>
        <w:tc>
          <w:tcPr>
            <w:tcW w:type="dxa" w:w="6640"/>
            <w:shd w:fill="1F3864" w:val="clear"/>
            <w:tcMar>
              <w:top w:type="dxa" w:w="60"/>
              <w:left w:type="dxa" w:w="100"/>
              <w:bottom w:type="dxa" w:w="60"/>
              <w:right w:type="dxa" w:w="100"/>
            </w:tcMar>
          </w:tcPr>
          <w:p>
            <w:pPr>
              <w:jc w:val="left"/>
            </w:pPr>
            <w:r>
              <w:rPr>
                <w:b/>
                <w:bCs/>
                <w:color w:val="FFFFFF"/>
                <w:sz w:val="20"/>
                <w:szCs w:val="20"/>
              </w:rPr>
              <w:t xml:space="preserve">Tasks</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Person 1</w:t>
            </w:r>
          </w:p>
        </w:tc>
        <w:tc>
          <w:tcPr>
            <w:tcW w:type="dxa" w:w="6640"/>
            <w:tcMar>
              <w:top w:type="dxa" w:w="60"/>
              <w:left w:type="dxa" w:w="100"/>
              <w:bottom w:type="dxa" w:w="60"/>
              <w:right w:type="dxa" w:w="100"/>
            </w:tcMar>
          </w:tcPr>
          <w:p>
            <w:pPr>
              <w:spacing w:after="60"/>
            </w:pPr>
            <w:r>
              <w:rPr>
                <w:sz w:val="19"/>
                <w:szCs w:val="19"/>
              </w:rPr>
              <w:t xml:space="preserve">• Finalize permission checks across every new screen and endpoint (an access-control pass, screen by screen).</w:t>
            </w:r>
          </w:p>
          <w:p>
            <w:pPr>
              <w:spacing w:after="0"/>
            </w:pPr>
            <w:r>
              <w:rPr>
                <w:sz w:val="19"/>
                <w:szCs w:val="19"/>
              </w:rPr>
              <w:t xml:space="preserve">• Data migration/seed script for the client's actual starting item catalogue, once provided.</w:t>
            </w:r>
          </w:p>
        </w:tc>
      </w:tr>
      <w:tr>
        <w:tc>
          <w:tcPr>
            <w:tcW w:type="dxa" w:w="2000"/>
            <w:shd w:fill="F5F5F5" w:val="clear"/>
            <w:tcMar>
              <w:top w:type="dxa" w:w="60"/>
              <w:left w:type="dxa" w:w="100"/>
              <w:bottom w:type="dxa" w:w="60"/>
              <w:right w:type="dxa" w:w="100"/>
            </w:tcMar>
          </w:tcPr>
          <w:p>
            <w:pPr>
              <w:jc w:val="left"/>
            </w:pPr>
            <w:r>
              <w:rPr>
                <w:b w:val="false"/>
                <w:bCs w:val="false"/>
                <w:color w:val="000000"/>
                <w:sz w:val="20"/>
                <w:szCs w:val="20"/>
              </w:rPr>
              <w:t xml:space="preserve">Person 2</w:t>
            </w:r>
          </w:p>
        </w:tc>
        <w:tc>
          <w:tcPr>
            <w:tcW w:type="dxa" w:w="6640"/>
            <w:shd w:fill="F5F5F5" w:val="clear"/>
            <w:tcMar>
              <w:top w:type="dxa" w:w="60"/>
              <w:left w:type="dxa" w:w="100"/>
              <w:bottom w:type="dxa" w:w="60"/>
              <w:right w:type="dxa" w:w="100"/>
            </w:tcMar>
          </w:tcPr>
          <w:p>
            <w:pPr>
              <w:spacing w:after="60"/>
            </w:pPr>
            <w:r>
              <w:rPr>
                <w:sz w:val="19"/>
                <w:szCs w:val="19"/>
              </w:rPr>
              <w:t xml:space="preserve">• Wire JewelryPricingService::priceForSale() into the real POS sale-creation flow (PosController::CreatePOS) and into SalesController's invoice posting, so the snapshot columns from §4.5 are actually populated on real sales.</w:t>
            </w:r>
          </w:p>
          <w:p>
            <w:pPr>
              <w:spacing w:after="0"/>
            </w:pPr>
            <w:r>
              <w:rPr>
                <w:sz w:val="19"/>
                <w:szCs w:val="19"/>
              </w:rPr>
              <w:t xml:space="preserve">• Implement the override/approval threshold logic (§4.6, §8.1) end to end.</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Person 3</w:t>
            </w:r>
          </w:p>
        </w:tc>
        <w:tc>
          <w:tcPr>
            <w:tcW w:type="dxa" w:w="6640"/>
            <w:tcMar>
              <w:top w:type="dxa" w:w="60"/>
              <w:left w:type="dxa" w:w="100"/>
              <w:bottom w:type="dxa" w:w="60"/>
              <w:right w:type="dxa" w:w="100"/>
            </w:tcMar>
          </w:tcPr>
          <w:p>
            <w:pPr>
              <w:spacing w:after="60"/>
            </w:pPr>
            <w:r>
              <w:rPr>
                <w:sz w:val="19"/>
                <w:szCs w:val="19"/>
              </w:rPr>
              <w:t xml:space="preserve">• POS screen updates from §7.4: jewelry item detail on the tile/cart line, embedding PricingPreview.</w:t>
            </w:r>
          </w:p>
          <w:p>
            <w:pPr>
              <w:spacing w:after="0"/>
            </w:pPr>
            <w:r>
              <w:rPr>
                <w:sz w:val="19"/>
                <w:szCs w:val="19"/>
              </w:rPr>
              <w:t xml:space="preserve">• Invoice/receipt Blade + PDF template updates (§7.4).</w:t>
            </w:r>
          </w:p>
        </w:tc>
      </w:tr>
      <w:tr>
        <w:tc>
          <w:tcPr>
            <w:tcW w:type="dxa" w:w="2000"/>
            <w:shd w:fill="F5F5F5" w:val="clear"/>
            <w:tcMar>
              <w:top w:type="dxa" w:w="60"/>
              <w:left w:type="dxa" w:w="100"/>
              <w:bottom w:type="dxa" w:w="60"/>
              <w:right w:type="dxa" w:w="100"/>
            </w:tcMar>
          </w:tcPr>
          <w:p>
            <w:pPr>
              <w:jc w:val="left"/>
            </w:pPr>
            <w:r>
              <w:rPr>
                <w:b w:val="false"/>
                <w:bCs w:val="false"/>
                <w:color w:val="000000"/>
                <w:sz w:val="20"/>
                <w:szCs w:val="20"/>
              </w:rPr>
              <w:t xml:space="preserve">Person 4</w:t>
            </w:r>
          </w:p>
        </w:tc>
        <w:tc>
          <w:tcPr>
            <w:tcW w:type="dxa" w:w="6640"/>
            <w:shd w:fill="F5F5F5" w:val="clear"/>
            <w:tcMar>
              <w:top w:type="dxa" w:w="60"/>
              <w:left w:type="dxa" w:w="100"/>
              <w:bottom w:type="dxa" w:w="60"/>
              <w:right w:type="dxa" w:w="100"/>
            </w:tcMar>
          </w:tcPr>
          <w:p>
            <w:pPr>
              <w:spacing w:after="60"/>
            </w:pPr>
            <w:r>
              <w:rPr>
                <w:sz w:val="19"/>
                <w:szCs w:val="19"/>
              </w:rPr>
              <w:t xml:space="preserve">• Finish weight-based inventory UI: transfer between locations (safe → showroom), receive-into-stock, movement/drill-down view.</w:t>
            </w:r>
          </w:p>
          <w:p>
            <w:pPr>
              <w:spacing w:after="0"/>
            </w:pPr>
            <w:r>
              <w:rPr>
                <w:sz w:val="19"/>
                <w:szCs w:val="19"/>
              </w:rPr>
              <w:t xml:space="preserve">• Merge-coordinate all four branches into develop this sprint; start running the full regression checklist from Sprint 3 against the integrated build.</w:t>
            </w:r>
          </w:p>
        </w:tc>
      </w:tr>
    </w:tbl>
    <w:p>
      <w:pPr>
        <w:spacing w:after="120"/>
      </w:pPr>
      <w:r>
        <w:t xml:space="preserve">Sprint 4 exit criteria: a complete sale of a jewelry item through the real POS produces a correctly priced, correctly snapshotted invoice, and stock/weight reduces automatically — i.e., most of the §10 acceptance scenario already works.</w:t>
      </w:r>
    </w:p>
    <w:p>
      <w:pPr>
        <w:pStyle w:val="Heading3"/>
        <w:spacing w:after="100" w:before="200"/>
      </w:pPr>
      <w:r>
        <w:t xml:space="preserve">Week 9 — Hardening, UAT and Go-Live Prep (Oct 5 – Oct 9)</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rPr>
          <w:tblHeader/>
        </w:trPr>
        <w:tc>
          <w:tcPr>
            <w:tcW w:type="dxa" w:w="2000"/>
            <w:shd w:fill="1F3864" w:val="clear"/>
            <w:tcMar>
              <w:top w:type="dxa" w:w="60"/>
              <w:left w:type="dxa" w:w="100"/>
              <w:bottom w:type="dxa" w:w="60"/>
              <w:right w:type="dxa" w:w="100"/>
            </w:tcMar>
          </w:tcPr>
          <w:p>
            <w:pPr>
              <w:jc w:val="left"/>
            </w:pPr>
            <w:r>
              <w:rPr>
                <w:b/>
                <w:bCs/>
                <w:color w:val="FFFFFF"/>
                <w:sz w:val="20"/>
                <w:szCs w:val="20"/>
              </w:rPr>
              <w:t xml:space="preserve">Everyone</w:t>
            </w:r>
          </w:p>
        </w:tc>
        <w:tc>
          <w:tcPr>
            <w:tcW w:type="dxa" w:w="6640"/>
            <w:shd w:fill="1F3864" w:val="clear"/>
            <w:tcMar>
              <w:top w:type="dxa" w:w="60"/>
              <w:left w:type="dxa" w:w="100"/>
              <w:bottom w:type="dxa" w:w="60"/>
              <w:right w:type="dxa" w:w="100"/>
            </w:tcMar>
          </w:tcPr>
          <w:p>
            <w:pPr>
              <w:jc w:val="left"/>
            </w:pPr>
            <w:r>
              <w:rPr>
                <w:b/>
                <w:bCs/>
                <w:color w:val="FFFFFF"/>
                <w:sz w:val="20"/>
                <w:szCs w:val="20"/>
              </w:rPr>
              <w:t xml:space="preserve">Tasks</w:t>
            </w:r>
          </w:p>
        </w:tc>
      </w:tr>
      <w:tr>
        <w:tc>
          <w:tcPr>
            <w:tcW w:type="dxa" w:w="2000"/>
            <w:tcMar>
              <w:top w:type="dxa" w:w="60"/>
              <w:left w:type="dxa" w:w="100"/>
              <w:bottom w:type="dxa" w:w="60"/>
              <w:right w:type="dxa" w:w="100"/>
            </w:tcMar>
          </w:tcPr>
          <w:p>
            <w:pPr>
              <w:jc w:val="left"/>
            </w:pPr>
            <w:r>
              <w:rPr>
                <w:b w:val="false"/>
                <w:bCs w:val="false"/>
                <w:color w:val="000000"/>
                <w:sz w:val="20"/>
                <w:szCs w:val="20"/>
              </w:rPr>
              <w:t xml:space="preserve">All four</w:t>
            </w:r>
          </w:p>
        </w:tc>
        <w:tc>
          <w:tcPr>
            <w:tcW w:type="dxa" w:w="6640"/>
            <w:tcMar>
              <w:top w:type="dxa" w:w="60"/>
              <w:left w:type="dxa" w:w="100"/>
              <w:bottom w:type="dxa" w:w="60"/>
              <w:right w:type="dxa" w:w="100"/>
            </w:tcMar>
          </w:tcPr>
          <w:p>
            <w:pPr>
              <w:spacing w:after="60"/>
            </w:pPr>
            <w:r>
              <w:rPr>
                <w:sz w:val="19"/>
                <w:szCs w:val="19"/>
              </w:rPr>
              <w:t xml:space="preserve">• Run the full 19-step acceptance scenario from §10 together, as a team, against a clean seeded tenant.</w:t>
            </w:r>
          </w:p>
          <w:p>
            <w:pPr>
              <w:spacing w:after="60"/>
            </w:pPr>
            <w:r>
              <w:rPr>
                <w:sz w:val="19"/>
                <w:szCs w:val="19"/>
              </w:rPr>
              <w:t xml:space="preserve">• Run the multi-tenant isolation check again against a second, non-jewelry tenant to reconfirm zero regressions.</w:t>
            </w:r>
          </w:p>
          <w:p>
            <w:pPr>
              <w:spacing w:after="60"/>
            </w:pPr>
            <w:r>
              <w:rPr>
                <w:sz w:val="19"/>
                <w:szCs w:val="19"/>
              </w:rPr>
              <w:t xml:space="preserve">• Fix whatever the above two steps turn up.</w:t>
            </w:r>
          </w:p>
          <w:p>
            <w:pPr>
              <w:spacing w:after="60"/>
            </w:pPr>
            <w:r>
              <w:rPr>
                <w:sz w:val="19"/>
                <w:szCs w:val="19"/>
              </w:rPr>
              <w:t xml:space="preserve">• Write/update the short admin-facing “how to turn on jewelry mode for a tenant” note and the “how gold rates and making charges work” note for support staff.</w:t>
            </w:r>
          </w:p>
          <w:p>
            <w:pPr>
              <w:spacing w:after="0"/>
            </w:pPr>
            <w:r>
              <w:rPr>
                <w:sz w:val="19"/>
                <w:szCs w:val="19"/>
              </w:rPr>
              <w:t xml:space="preserve">• Tag a release, deploy to a staging tenant first, then to Grids Gold's real tenant.</w:t>
            </w:r>
          </w:p>
        </w:tc>
      </w:tr>
    </w:tbl>
    <w:p>
      <w:pPr>
        <w:pBdr>
          <w:left w:val="single" w:color="9C6B1F" w:sz="18" w:space="8"/>
        </w:pBdr>
        <w:shd w:fill="FBF3E5" w:val="clear"/>
        <w:spacing w:after="160" w:before="80"/>
        <w:ind w:left="200"/>
      </w:pPr>
      <w:r>
        <w:rPr>
          <w:b/>
          <w:bCs/>
          <w:i/>
          <w:iCs/>
          <w:color w:val="9C6B1F"/>
        </w:rPr>
        <w:t xml:space="preserve">Assumption / open item: </w:t>
      </w:r>
      <w:r>
        <w:rPr>
          <w:i/>
          <w:iCs/>
          <w:color w:val="555555"/>
        </w:rPr>
        <w:t xml:space="preserve">This timeline assumes the four people are working on this close to full-time and that the client-provided starting item catalogue (if any) arrives by Sprint 4. If the team is part-time, stretch each sprint rather than compress scope — the order of sprints is designed so that something demoable exists at the end of every one of them.</w:t>
      </w:r>
    </w:p>
    <w:p>
      <w:r>
        <w:br w:type="page"/>
      </w:r>
    </w:p>
    <w:p>
      <w:pPr>
        <w:pStyle w:val="Heading1"/>
        <w:spacing w:after="160" w:before="360"/>
      </w:pPr>
      <w:r>
        <w:t xml:space="preserve">10. Acceptance Test — the Scenario That Must Work</w:t>
      </w:r>
    </w:p>
    <w:p>
      <w:pPr>
        <w:spacing w:after="120"/>
      </w:pPr>
      <w:r>
        <w:t xml:space="preserve">This is the exact minimum acceptance scenario from the customization brief. Treat it as the project's single most important test script — nothing is “done” until this runs cleanly end to end, and it should be run again (not just once) during Week 9.</w:t>
      </w:r>
    </w:p>
    <w:p>
      <w:pPr>
        <w:pStyle w:val="ListParagraph"/>
        <w:numPr>
          <w:ilvl w:val="0"/>
          <w:numId w:val="3"/>
        </w:numPr>
        <w:spacing w:after="60"/>
      </w:pPr>
      <w:r>
        <w:t xml:space="preserve">Create a new tenant or jewelry company.</w:t>
      </w:r>
    </w:p>
    <w:p>
      <w:pPr>
        <w:pStyle w:val="ListParagraph"/>
        <w:numPr>
          <w:ilvl w:val="0"/>
          <w:numId w:val="3"/>
        </w:numPr>
        <w:spacing w:after="60"/>
      </w:pPr>
      <w:r>
        <w:t xml:space="preserve">Create a branch (warehouse), a showroom, a safe, and a warehouse location (all via the existing Warehouse/WarehouseLocation records, per §2.3).</w:t>
      </w:r>
    </w:p>
    <w:p>
      <w:pPr>
        <w:pStyle w:val="ListParagraph"/>
        <w:numPr>
          <w:ilvl w:val="0"/>
          <w:numId w:val="3"/>
        </w:numPr>
        <w:spacing w:after="60"/>
      </w:pPr>
      <w:r>
        <w:t xml:space="preserve">Configure gold as a metal type.</w:t>
      </w:r>
    </w:p>
    <w:p>
      <w:pPr>
        <w:pStyle w:val="ListParagraph"/>
        <w:numPr>
          <w:ilvl w:val="0"/>
          <w:numId w:val="3"/>
        </w:numPr>
        <w:spacing w:after="60"/>
      </w:pPr>
      <w:r>
        <w:t xml:space="preserve">Configure 18K, 21K, 22K, and 24K karats.</w:t>
      </w:r>
    </w:p>
    <w:p>
      <w:pPr>
        <w:pStyle w:val="ListParagraph"/>
        <w:numPr>
          <w:ilvl w:val="0"/>
          <w:numId w:val="3"/>
        </w:numPr>
        <w:spacing w:after="60"/>
      </w:pPr>
      <w:r>
        <w:t xml:space="preserve">Enter today's gold rate for 21K.</w:t>
      </w:r>
    </w:p>
    <w:p>
      <w:pPr>
        <w:pStyle w:val="ListParagraph"/>
        <w:numPr>
          <w:ilvl w:val="0"/>
          <w:numId w:val="3"/>
        </w:numPr>
        <w:spacing w:after="60"/>
      </w:pPr>
      <w:r>
        <w:t xml:space="preserve">Create a 21K gold ring (a jewelry item).</w:t>
      </w:r>
    </w:p>
    <w:p>
      <w:pPr>
        <w:pStyle w:val="ListParagraph"/>
        <w:numPr>
          <w:ilvl w:val="0"/>
          <w:numId w:val="3"/>
        </w:numPr>
        <w:spacing w:after="60"/>
      </w:pPr>
      <w:r>
        <w:t xml:space="preserve">Enter gross weight, net weight, and metal weight.</w:t>
      </w:r>
    </w:p>
    <w:p>
      <w:pPr>
        <w:pStyle w:val="ListParagraph"/>
        <w:numPr>
          <w:ilvl w:val="0"/>
          <w:numId w:val="3"/>
        </w:numPr>
        <w:spacing w:after="60"/>
      </w:pPr>
      <w:r>
        <w:t xml:space="preserve">Add stone quantity, carat, color, clarity, and stone value.</w:t>
      </w:r>
    </w:p>
    <w:p>
      <w:pPr>
        <w:pStyle w:val="ListParagraph"/>
        <w:numPr>
          <w:ilvl w:val="0"/>
          <w:numId w:val="3"/>
        </w:numPr>
        <w:spacing w:after="60"/>
      </w:pPr>
      <w:r>
        <w:t xml:space="preserve">Add making charge and wastage.</w:t>
      </w:r>
    </w:p>
    <w:p>
      <w:pPr>
        <w:pStyle w:val="ListParagraph"/>
        <w:numPr>
          <w:ilvl w:val="0"/>
          <w:numId w:val="3"/>
        </w:numPr>
        <w:spacing w:after="60"/>
      </w:pPr>
      <w:r>
        <w:t xml:space="preserve">Preview the complete calculated price.</w:t>
      </w:r>
    </w:p>
    <w:p>
      <w:pPr>
        <w:pStyle w:val="ListParagraph"/>
        <w:numPr>
          <w:ilvl w:val="0"/>
          <w:numId w:val="3"/>
        </w:numPr>
        <w:spacing w:after="60"/>
      </w:pPr>
      <w:r>
        <w:t xml:space="preserve">Receive the item into inventory.</w:t>
      </w:r>
    </w:p>
    <w:p>
      <w:pPr>
        <w:pStyle w:val="ListParagraph"/>
        <w:numPr>
          <w:ilvl w:val="0"/>
          <w:numId w:val="3"/>
        </w:numPr>
        <w:spacing w:after="60"/>
      </w:pPr>
      <w:r>
        <w:t xml:space="preserve">Transfer it from the safe to the showroom.</w:t>
      </w:r>
    </w:p>
    <w:p>
      <w:pPr>
        <w:pStyle w:val="ListParagraph"/>
        <w:numPr>
          <w:ilvl w:val="0"/>
          <w:numId w:val="3"/>
        </w:numPr>
        <w:spacing w:after="60"/>
      </w:pPr>
      <w:r>
        <w:t xml:space="preserve">Scan the item in the POS.</w:t>
      </w:r>
    </w:p>
    <w:p>
      <w:pPr>
        <w:pStyle w:val="ListParagraph"/>
        <w:numPr>
          <w:ilvl w:val="0"/>
          <w:numId w:val="3"/>
        </w:numPr>
        <w:spacing w:after="60"/>
      </w:pPr>
      <w:r>
        <w:t xml:space="preserve">Display the jewelry price breakdown.</w:t>
      </w:r>
    </w:p>
    <w:p>
      <w:pPr>
        <w:pStyle w:val="ListParagraph"/>
        <w:numPr>
          <w:ilvl w:val="0"/>
          <w:numId w:val="3"/>
        </w:numPr>
        <w:spacing w:after="60"/>
      </w:pPr>
      <w:r>
        <w:t xml:space="preserve">Complete payment and issue an invoice.</w:t>
      </w:r>
    </w:p>
    <w:p>
      <w:pPr>
        <w:pStyle w:val="ListParagraph"/>
        <w:numPr>
          <w:ilvl w:val="0"/>
          <w:numId w:val="3"/>
        </w:numPr>
        <w:spacing w:after="60"/>
      </w:pPr>
      <w:r>
        <w:t xml:space="preserve">Store the gold-rate and pricing snapshot on the invoice.</w:t>
      </w:r>
    </w:p>
    <w:p>
      <w:pPr>
        <w:pStyle w:val="ListParagraph"/>
        <w:numPr>
          <w:ilvl w:val="0"/>
          <w:numId w:val="3"/>
        </w:numPr>
        <w:spacing w:after="60"/>
      </w:pPr>
      <w:r>
        <w:t xml:space="preserve">Reduce stock automatically.</w:t>
      </w:r>
    </w:p>
    <w:p>
      <w:pPr>
        <w:pStyle w:val="ListParagraph"/>
        <w:numPr>
          <w:ilvl w:val="0"/>
          <w:numId w:val="3"/>
        </w:numPr>
        <w:spacing w:after="60"/>
      </w:pPr>
      <w:r>
        <w:t xml:space="preserve">Display the item movement history.</w:t>
      </w:r>
    </w:p>
    <w:p>
      <w:pPr>
        <w:pStyle w:val="ListParagraph"/>
        <w:numPr>
          <w:ilvl w:val="0"/>
          <w:numId w:val="3"/>
        </w:numPr>
        <w:spacing w:after="60"/>
      </w:pPr>
      <w:r>
        <w:t xml:space="preserve">Verify that another tenant cannot access any of the previous data.</w:t>
      </w:r>
    </w:p>
    <w:p>
      <w:r>
        <w:br w:type="page"/>
      </w:r>
    </w:p>
    <w:p>
      <w:pPr>
        <w:pStyle w:val="Heading1"/>
        <w:spacing w:after="160" w:before="360"/>
      </w:pPr>
      <w:r>
        <w:t xml:space="preserve">11. Risks, Assumptions and Open Questions</w:t>
      </w:r>
    </w:p>
    <w:p>
      <w:pPr>
        <w:spacing w:after="120"/>
      </w:pPr>
      <w:r>
        <w:t xml:space="preserve">These are the things that could not be resolved from the two source documents and the codebase alone, and are worth a five-minute check-in with the client before or during Sprint 1 rather than being guessed at silently:</w:t>
      </w:r>
    </w:p>
    <w:p>
      <w:pPr>
        <w:pStyle w:val="ListParagraph"/>
        <w:numPr>
          <w:ilvl w:val="0"/>
          <w:numId w:val="2"/>
        </w:numPr>
        <w:spacing w:after="60"/>
      </w:pPr>
      <w:r>
        <w:t xml:space="preserve">Making-charge and wastage math (§2.4): the exact default percentages/values Grids Gold wants are not in either document. All five methods will be built and configurable, but someone needs to enter Grids Gold's real defaults during Sprint 1's dictionary-freeze.</w:t>
      </w:r>
    </w:p>
    <w:p>
      <w:pPr>
        <w:pStyle w:val="ListParagraph"/>
        <w:numPr>
          <w:ilvl w:val="0"/>
          <w:numId w:val="2"/>
        </w:numPr>
        <w:spacing w:after="60"/>
      </w:pPr>
      <w:r>
        <w:t xml:space="preserve">Live gold-rate feed: both reference sites (Gem Logic, SunFacet) offer an automatic live-rate sync; Phase 1 here is manual entry only, with the schema left open for an API source later (§5.2). Confirm this is acceptable for launch.</w:t>
      </w:r>
    </w:p>
    <w:p>
      <w:pPr>
        <w:pStyle w:val="ListParagraph"/>
        <w:numPr>
          <w:ilvl w:val="0"/>
          <w:numId w:val="2"/>
        </w:numPr>
        <w:spacing w:after="60"/>
      </w:pPr>
      <w:r>
        <w:t xml:space="preserve">Multi-currency: the existing currencies table is a display-only list (no live conversion). If Grids Gold trades in more than one currency day to day, that is extra scope not currently costed into this plan.</w:t>
      </w:r>
    </w:p>
    <w:p>
      <w:pPr>
        <w:pStyle w:val="ListParagraph"/>
        <w:numPr>
          <w:ilvl w:val="0"/>
          <w:numId w:val="2"/>
        </w:numPr>
        <w:spacing w:after="60"/>
      </w:pPr>
      <w:r>
        <w:t xml:space="preserve">Starting item catalogue: if Grids Gold has an existing spreadsheet/ledger of stock to migrate, get it by Sprint 4 at the latest so Person 1's migration/seed task (§9, Sprint 4) has real data to work against instead of being written blind.</w:t>
      </w:r>
    </w:p>
    <w:p>
      <w:pPr>
        <w:pStyle w:val="ListParagraph"/>
        <w:numPr>
          <w:ilvl w:val="0"/>
          <w:numId w:val="2"/>
        </w:numPr>
        <w:spacing w:after="60"/>
      </w:pPr>
      <w:r>
        <w:t xml:space="preserve">Legacy duplicate routes: routes/api.php currently mirrors routes/tenant_api.php for products/POS (pre-existing technical debt, not caused by this project). New jewelry endpoints are added only to tenant_api.php; do not spend Phase 1 time reconciling the duplication — flag it, don't fix it now.</w:t>
      </w:r>
    </w:p>
    <w:p>
      <w:pPr>
        <w:pStyle w:val="ListParagraph"/>
        <w:numPr>
          <w:ilvl w:val="0"/>
          <w:numId w:val="2"/>
        </w:numPr>
        <w:spacing w:after="60"/>
      </w:pPr>
      <w:r>
        <w:t xml:space="preserve">A true multi-company-per-tenant hierarchy (as opposed to multi-branch, which this plan does cover via Warehouse) is out of scope — see §2.3.</w:t>
      </w:r>
    </w:p>
    <w:p>
      <w:r>
        <w:br w:type="page"/>
      </w:r>
    </w:p>
    <w:p>
      <w:pPr>
        <w:pStyle w:val="Heading1"/>
        <w:spacing w:after="160" w:before="360"/>
      </w:pPr>
      <w:r>
        <w:t xml:space="preserve">12. Definition of Done</w:t>
      </w:r>
    </w:p>
    <w:p>
      <w:pPr>
        <w:spacing w:after="120"/>
      </w:pPr>
      <w:r>
        <w:t xml:space="preserve">Phase 1 (the Jewelry Retail Core) is complete when all of the following are true:</w:t>
      </w:r>
    </w:p>
    <w:p>
      <w:pPr>
        <w:pStyle w:val="ListParagraph"/>
        <w:numPr>
          <w:ilvl w:val="0"/>
          <w:numId w:val="2"/>
        </w:numPr>
        <w:spacing w:after="60"/>
      </w:pPr>
      <w:r>
        <w:t xml:space="preserve">The §10 acceptance scenario runs cleanly on a freshly seeded tenant.</w:t>
      </w:r>
    </w:p>
    <w:p>
      <w:pPr>
        <w:pStyle w:val="ListParagraph"/>
        <w:numPr>
          <w:ilvl w:val="0"/>
          <w:numId w:val="2"/>
        </w:numPr>
        <w:spacing w:after="60"/>
      </w:pPr>
      <w:r>
        <w:t xml:space="preserve">A second, non-jewelry tenant shows zero behavior change with jewelry_mode off (re-run the Sprint 1 isolation test).</w:t>
      </w:r>
    </w:p>
    <w:p>
      <w:pPr>
        <w:pStyle w:val="ListParagraph"/>
        <w:numPr>
          <w:ilvl w:val="0"/>
          <w:numId w:val="2"/>
        </w:numPr>
        <w:spacing w:after="60"/>
      </w:pPr>
      <w:r>
        <w:t xml:space="preserve">Every new table/column follows the additive, guarded-migration pattern in §4 — nothing existing was renamed, dropped, or repurposed.</w:t>
      </w:r>
    </w:p>
    <w:p>
      <w:pPr>
        <w:pStyle w:val="ListParagraph"/>
        <w:numPr>
          <w:ilvl w:val="0"/>
          <w:numId w:val="2"/>
        </w:numPr>
        <w:spacing w:after="60"/>
      </w:pPr>
      <w:r>
        <w:t xml:space="preserve">The item form, POS, and posted invoice all show identical pricing for the same item at the same moment, because all three call JewelryPricingService (§5.3).</w:t>
      </w:r>
    </w:p>
    <w:p>
      <w:pPr>
        <w:pStyle w:val="ListParagraph"/>
        <w:numPr>
          <w:ilvl w:val="0"/>
          <w:numId w:val="2"/>
        </w:numPr>
        <w:spacing w:after="60"/>
      </w:pPr>
      <w:r>
        <w:t xml:space="preserve">Updating today's gold rate does not change the total on a previously posted invoice.</w:t>
      </w:r>
    </w:p>
    <w:p>
      <w:pPr>
        <w:pStyle w:val="ListParagraph"/>
        <w:numPr>
          <w:ilvl w:val="0"/>
          <w:numId w:val="2"/>
        </w:numPr>
        <w:spacing w:after="60"/>
      </w:pPr>
      <w:r>
        <w:t xml:space="preserve">Roles/permissions correctly restrict gold-rate entry, price overrides, and cost visibility per §8.1 and the role descriptions the client's SRS already defines (Cashier cannot edit prices, Sales Executive cannot see supplier cost, etc.).</w:t>
      </w:r>
    </w:p>
    <w:p>
      <w:pPr>
        <w:pStyle w:val="ListParagraph"/>
        <w:numPr>
          <w:ilvl w:val="0"/>
          <w:numId w:val="2"/>
        </w:numPr>
        <w:spacing w:after="60"/>
      </w:pPr>
      <w:r>
        <w:t xml:space="preserve">Karat-wise sales and stock-valuation reports produce correct numbers against test data.</w:t>
      </w:r>
    </w:p>
    <w:p>
      <w:pPr>
        <w:pStyle w:val="ListParagraph"/>
        <w:numPr>
          <w:ilvl w:val="0"/>
          <w:numId w:val="2"/>
        </w:numPr>
        <w:spacing w:after="60"/>
      </w:pPr>
      <w:r>
        <w:t xml:space="preserve">The four-person team has a working, low-conflict Git process in place (see the companion GitHub guide) and every merged PR was reviewed by someone other than its author.</w:t>
      </w:r>
    </w:p>
    <w:p>
      <w:pPr>
        <w:spacing w:after="120"/>
      </w:pPr>
      <w:r>
        <w:t xml:space="preserve">Everything listed in §2.5 as out of scope remains explicitly out of scope for this delivery — the database and service design leave room for it (per the customization brief's own instruction), but building it is a separate, future engagement.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4"/>
      <w:szCs w:val="34"/>
    </w:rPr>
  </w:style>
  <w:style w:type="paragraph" w:styleId="Heading2">
    <w:name w:val="Heading 2"/>
    <w:basedOn w:val="Normal"/>
    <w:next w:val="Normal"/>
    <w:qFormat/>
    <w:pPr>
      <w:spacing w:after="140" w:before="300"/>
    </w:pPr>
    <w:rPr>
      <w:rFonts w:ascii="Calibri" w:cs="Calibri" w:eastAsia="Calibri" w:hAnsi="Calibri"/>
      <w:b/>
      <w:bCs/>
      <w:color w:val="9C6B1F"/>
      <w:sz w:val="27"/>
      <w:szCs w:val="27"/>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2026-07-31T17:27:09.189Z</dcterms:created>
  <dcterms:modified xsi:type="dcterms:W3CDTF">2026-07-31T17:27:09.190Z</dcterms:modified>
</cp:coreProperties>
</file>

<file path=docProps/custom.xml><?xml version="1.0" encoding="utf-8"?>
<Properties xmlns="http://schemas.openxmlformats.org/officeDocument/2006/custom-properties" xmlns:vt="http://schemas.openxmlformats.org/officeDocument/2006/docPropsVTypes"/>
</file>