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98E" w:rsidRDefault="00470F62" w:rsidP="00470F62">
      <w:pPr>
        <w:pStyle w:val="Title"/>
      </w:pPr>
      <w:r>
        <w:fldChar w:fldCharType="begin"/>
      </w:r>
      <w:r>
        <w:instrText xml:space="preserve"> MACROBUTTON MTEditEquationSection2 </w:instrText>
      </w:r>
      <w:r w:rsidRPr="00470F62">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roofErr w:type="spellStart"/>
      <w:r>
        <w:t>FEBioChem</w:t>
      </w:r>
      <w:proofErr w:type="spellEnd"/>
      <w:r>
        <w:t xml:space="preserve"> User Manual</w:t>
      </w:r>
    </w:p>
    <w:p w:rsidR="00470F62" w:rsidRDefault="00470F62" w:rsidP="00470F62">
      <w:pPr>
        <w:pStyle w:val="Heading1"/>
      </w:pPr>
      <w:r>
        <w:t>Introduction</w:t>
      </w:r>
    </w:p>
    <w:p w:rsidR="00470F62" w:rsidRDefault="00470F62" w:rsidP="00470F62">
      <w:pPr>
        <w:jc w:val="both"/>
      </w:pPr>
      <w:r>
        <w:t xml:space="preserve">The </w:t>
      </w:r>
      <w:proofErr w:type="spellStart"/>
      <w:r>
        <w:t>FEBioChem</w:t>
      </w:r>
      <w:proofErr w:type="spellEnd"/>
      <w:r>
        <w:t xml:space="preserve"> plugin was designed for solving the reaction-diffusion equation in the context of a (non-deformable) mixture with multiple chemical species. The species can be solutes that flow with the solvent, or can be bound to the solid phase of the mixture. In this regard, this plugin offers similar capabilities as the </w:t>
      </w:r>
      <w:proofErr w:type="spellStart"/>
      <w:r>
        <w:t>FEBioMix</w:t>
      </w:r>
      <w:proofErr w:type="spellEnd"/>
      <w:r>
        <w:t xml:space="preserve"> module in FEBio (at least for non-deformable mixtures). However, since the mixture is assumed non-deformable, the calculations are optimized and the performance improved.</w:t>
      </w:r>
    </w:p>
    <w:p w:rsidR="00470F62" w:rsidRDefault="00470F62" w:rsidP="00470F62">
      <w:pPr>
        <w:jc w:val="both"/>
      </w:pPr>
      <w:r>
        <w:t xml:space="preserve">The basic set of equations that </w:t>
      </w:r>
      <w:proofErr w:type="spellStart"/>
      <w:r>
        <w:t>FEBioChem</w:t>
      </w:r>
      <w:proofErr w:type="spellEnd"/>
      <w:r>
        <w:t xml:space="preserve"> solves are the nonlinear reaction-diffusion equations, which can be stated in the following form.</w:t>
      </w:r>
    </w:p>
    <w:p w:rsidR="00470F62" w:rsidRDefault="00470F62" w:rsidP="00470F62">
      <w:pPr>
        <w:pStyle w:val="MTDisplayEquation"/>
      </w:pPr>
      <w:r>
        <w:tab/>
      </w:r>
      <w:r w:rsidRPr="00470F62">
        <w:rPr>
          <w:position w:val="-18"/>
        </w:rPr>
        <w:object w:dxaOrig="526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8pt;height:23.85pt" o:ole="">
            <v:imagedata r:id="rId5" o:title=""/>
          </v:shape>
          <o:OLEObject Type="Embed" ProgID="Equation.DSMT4" ShapeID="_x0000_i1025" DrawAspect="Content" ObjectID="_1582104728" r:id="rId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D71716">
          <w:rPr>
            <w:noProof/>
          </w:rPr>
          <w:instrText>1</w:instrText>
        </w:r>
      </w:fldSimple>
      <w:r>
        <w:instrText>.</w:instrText>
      </w:r>
      <w:fldSimple w:instr=" SEQ MTEqn \c \* Arabic \* MERGEFORMAT ">
        <w:r w:rsidR="00D71716">
          <w:rPr>
            <w:noProof/>
          </w:rPr>
          <w:instrText>1</w:instrText>
        </w:r>
      </w:fldSimple>
      <w:r>
        <w:instrText>)</w:instrText>
      </w:r>
      <w:r>
        <w:fldChar w:fldCharType="end"/>
      </w:r>
    </w:p>
    <w:p w:rsidR="00470F62" w:rsidRDefault="00470F62" w:rsidP="00470F62">
      <w:r>
        <w:t xml:space="preserve">Here, </w:t>
      </w:r>
      <w:r w:rsidRPr="00F668D8">
        <w:rPr>
          <w:position w:val="-6"/>
        </w:rPr>
        <w:object w:dxaOrig="360" w:dyaOrig="340">
          <v:shape id="_x0000_i1026" type="#_x0000_t75" style="width:18.1pt;height:16.8pt" o:ole="">
            <v:imagedata r:id="rId7" o:title=""/>
          </v:shape>
          <o:OLEObject Type="Embed" ProgID="Equation.DSMT4" ShapeID="_x0000_i1026" DrawAspect="Content" ObjectID="_1582104729" r:id="rId8"/>
        </w:object>
      </w:r>
      <w:r>
        <w:t xml:space="preserve"> represents the concentration of chemical species </w:t>
      </w:r>
      <w:proofErr w:type="spellStart"/>
      <w:r>
        <w:rPr>
          <w:i/>
        </w:rPr>
        <w:t>i</w:t>
      </w:r>
      <w:proofErr w:type="spellEnd"/>
      <w:r>
        <w:rPr>
          <w:i/>
        </w:rPr>
        <w:t>,</w:t>
      </w:r>
      <w:r>
        <w:t xml:space="preserve"> </w:t>
      </w:r>
      <w:r w:rsidRPr="00BF792F">
        <w:rPr>
          <w:position w:val="-4"/>
        </w:rPr>
        <w:object w:dxaOrig="400" w:dyaOrig="320">
          <v:shape id="_x0000_i1027" type="#_x0000_t75" style="width:20.3pt;height:16.35pt" o:ole="">
            <v:imagedata r:id="rId9" o:title=""/>
          </v:shape>
          <o:OLEObject Type="Embed" ProgID="Equation.DSMT4" ShapeID="_x0000_i1027" DrawAspect="Content" ObjectID="_1582104730" r:id="rId10"/>
        </w:object>
      </w:r>
      <w:r>
        <w:t xml:space="preserve"> the diffusion constant of species </w:t>
      </w:r>
      <w:proofErr w:type="spellStart"/>
      <w:r>
        <w:rPr>
          <w:i/>
        </w:rPr>
        <w:t>i</w:t>
      </w:r>
      <w:proofErr w:type="spellEnd"/>
      <w:r>
        <w:t xml:space="preserve">, and </w:t>
      </w:r>
      <w:r w:rsidRPr="00F668D8">
        <w:rPr>
          <w:position w:val="-4"/>
        </w:rPr>
        <w:object w:dxaOrig="380" w:dyaOrig="320">
          <v:shape id="_x0000_i1028" type="#_x0000_t75" style="width:19pt;height:16.35pt" o:ole="">
            <v:imagedata r:id="rId11" o:title=""/>
          </v:shape>
          <o:OLEObject Type="Embed" ProgID="Equation.DSMT4" ShapeID="_x0000_i1028" DrawAspect="Content" ObjectID="_1582104731" r:id="rId12"/>
        </w:object>
      </w:r>
      <w:r>
        <w:t xml:space="preserve"> accounts for all local reactions that contribute to the concentration of species </w:t>
      </w:r>
      <w:proofErr w:type="spellStart"/>
      <w:r>
        <w:rPr>
          <w:i/>
        </w:rPr>
        <w:t>i</w:t>
      </w:r>
      <w:proofErr w:type="spellEnd"/>
      <w:r>
        <w:t xml:space="preserve">. The vector </w:t>
      </w:r>
      <w:r w:rsidRPr="00B2295B">
        <w:rPr>
          <w:position w:val="-18"/>
        </w:rPr>
        <w:object w:dxaOrig="1800" w:dyaOrig="480">
          <v:shape id="_x0000_i1029" type="#_x0000_t75" style="width:90.1pt;height:23.85pt" o:ole="">
            <v:imagedata r:id="rId13" o:title=""/>
          </v:shape>
          <o:OLEObject Type="Embed" ProgID="Equation.DSMT4" ShapeID="_x0000_i1029" DrawAspect="Content" ObjectID="_1582104732" r:id="rId14"/>
        </w:object>
      </w:r>
      <w:r>
        <w:t xml:space="preserve"> represents all the concentrations. </w:t>
      </w:r>
    </w:p>
    <w:p w:rsidR="00470F62" w:rsidRDefault="00470F62" w:rsidP="00470F62">
      <w:pPr>
        <w:jc w:val="both"/>
      </w:pPr>
      <w:r>
        <w:t>A general (forward) chemical reaction is notated as follows.</w:t>
      </w:r>
    </w:p>
    <w:p w:rsidR="00470F62" w:rsidRDefault="00470F62" w:rsidP="00470F62">
      <w:pPr>
        <w:pStyle w:val="MTDisplayEquation"/>
      </w:pPr>
      <w:r>
        <w:tab/>
      </w:r>
      <w:r w:rsidRPr="00470F62">
        <w:rPr>
          <w:position w:val="-28"/>
        </w:rPr>
        <w:object w:dxaOrig="1920" w:dyaOrig="700">
          <v:shape id="_x0000_i1030" type="#_x0000_t75" style="width:95.85pt;height:34.9pt" o:ole="">
            <v:imagedata r:id="rId15" o:title=""/>
          </v:shape>
          <o:OLEObject Type="Embed" ProgID="Equation.DSMT4" ShapeID="_x0000_i1030" DrawAspect="Content" ObjectID="_1582104733" r:id="rId1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D71716">
          <w:rPr>
            <w:noProof/>
          </w:rPr>
          <w:instrText>1</w:instrText>
        </w:r>
      </w:fldSimple>
      <w:r>
        <w:instrText>.</w:instrText>
      </w:r>
      <w:fldSimple w:instr=" SEQ MTEqn \c \* Arabic \* MERGEFORMAT ">
        <w:r w:rsidR="00D71716">
          <w:rPr>
            <w:noProof/>
          </w:rPr>
          <w:instrText>2</w:instrText>
        </w:r>
      </w:fldSimple>
      <w:r>
        <w:instrText>)</w:instrText>
      </w:r>
      <w:r>
        <w:fldChar w:fldCharType="end"/>
      </w:r>
    </w:p>
    <w:p w:rsidR="00D71716" w:rsidRDefault="00470F62" w:rsidP="00470F62">
      <w:pPr>
        <w:jc w:val="both"/>
      </w:pPr>
      <w:r>
        <w:t xml:space="preserve">Here, </w:t>
      </w:r>
      <w:proofErr w:type="spellStart"/>
      <w:r w:rsidRPr="00470F62">
        <w:rPr>
          <w:i/>
        </w:rPr>
        <w:t>M</w:t>
      </w:r>
      <w:r w:rsidRPr="00470F62">
        <w:rPr>
          <w:i/>
          <w:vertAlign w:val="subscript"/>
        </w:rPr>
        <w:t>i</w:t>
      </w:r>
      <w:proofErr w:type="spellEnd"/>
      <w:r>
        <w:t xml:space="preserve"> identifies the chemical species, </w:t>
      </w:r>
      <w:r w:rsidRPr="00470F62">
        <w:rPr>
          <w:position w:val="-14"/>
        </w:rPr>
        <w:object w:dxaOrig="260" w:dyaOrig="380">
          <v:shape id="_x0000_i1031" type="#_x0000_t75" style="width:12.8pt;height:19pt" o:ole="">
            <v:imagedata r:id="rId17" o:title=""/>
          </v:shape>
          <o:OLEObject Type="Embed" ProgID="Equation.DSMT4" ShapeID="_x0000_i1031" DrawAspect="Content" ObjectID="_1582104734" r:id="rId18"/>
        </w:object>
      </w:r>
      <w:r>
        <w:t xml:space="preserve">and </w:t>
      </w:r>
      <w:r w:rsidRPr="00470F62">
        <w:rPr>
          <w:position w:val="-14"/>
        </w:rPr>
        <w:object w:dxaOrig="260" w:dyaOrig="380">
          <v:shape id="_x0000_i1032" type="#_x0000_t75" style="width:12.8pt;height:19pt" o:ole="">
            <v:imagedata r:id="rId19" o:title=""/>
          </v:shape>
          <o:OLEObject Type="Embed" ProgID="Equation.DSMT4" ShapeID="_x0000_i1032" DrawAspect="Content" ObjectID="_1582104735" r:id="rId20"/>
        </w:object>
      </w:r>
      <w:r>
        <w:t xml:space="preserve"> are the stoichiometric coefficients of the reactants and products, respectively</w:t>
      </w:r>
      <w:r w:rsidR="00D71716">
        <w:t xml:space="preserve">, </w:t>
      </w:r>
      <w:proofErr w:type="spellStart"/>
      <w:proofErr w:type="gramStart"/>
      <w:r w:rsidR="00D71716" w:rsidRPr="00D71716">
        <w:rPr>
          <w:i/>
        </w:rPr>
        <w:t>k</w:t>
      </w:r>
      <w:r w:rsidR="00D71716" w:rsidRPr="00D71716">
        <w:rPr>
          <w:i/>
          <w:vertAlign w:val="subscript"/>
        </w:rPr>
        <w:t>j</w:t>
      </w:r>
      <w:proofErr w:type="spellEnd"/>
      <w:proofErr w:type="gramEnd"/>
      <w:r w:rsidR="00D71716">
        <w:t xml:space="preserve"> is the rate coefficient</w:t>
      </w:r>
      <w:r>
        <w:t xml:space="preserve">. </w:t>
      </w:r>
    </w:p>
    <w:p w:rsidR="00D71716" w:rsidRDefault="00D71716" w:rsidP="00470F62">
      <w:pPr>
        <w:jc w:val="both"/>
      </w:pPr>
      <w:r>
        <w:t xml:space="preserve">The source term </w:t>
      </w:r>
      <w:r w:rsidRPr="00F668D8">
        <w:rPr>
          <w:position w:val="-4"/>
        </w:rPr>
        <w:object w:dxaOrig="380" w:dyaOrig="320">
          <v:shape id="_x0000_i1033" type="#_x0000_t75" style="width:19pt;height:16.35pt" o:ole="">
            <v:imagedata r:id="rId11" o:title=""/>
          </v:shape>
          <o:OLEObject Type="Embed" ProgID="Equation.DSMT4" ShapeID="_x0000_i1033" DrawAspect="Content" ObjectID="_1582104736" r:id="rId21"/>
        </w:object>
      </w:r>
      <w:r>
        <w:t>takes on the following form,</w:t>
      </w:r>
    </w:p>
    <w:p w:rsidR="00D71716" w:rsidRDefault="00D71716" w:rsidP="00D71716">
      <w:pPr>
        <w:pStyle w:val="MTDisplayEquation"/>
      </w:pPr>
      <w:r>
        <w:tab/>
      </w:r>
      <w:r w:rsidRPr="00D71716">
        <w:rPr>
          <w:position w:val="-30"/>
        </w:rPr>
        <w:object w:dxaOrig="1300" w:dyaOrig="700">
          <v:shape id="_x0000_i1034" type="#_x0000_t75" style="width:64.95pt;height:34.9pt" o:ole="">
            <v:imagedata r:id="rId22" o:title=""/>
          </v:shape>
          <o:OLEObject Type="Embed" ProgID="Equation.DSMT4" ShapeID="_x0000_i1034" DrawAspect="Content" ObjectID="_1582104737" r:id="rId2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3</w:instrText>
        </w:r>
      </w:fldSimple>
      <w:r>
        <w:instrText>)</w:instrText>
      </w:r>
      <w:r>
        <w:fldChar w:fldCharType="end"/>
      </w:r>
    </w:p>
    <w:p w:rsidR="00D71716" w:rsidRDefault="00D71716" w:rsidP="00D71716">
      <w:r>
        <w:t>Here, the sum is over</w:t>
      </w:r>
      <w:r>
        <w:rPr>
          <w:i/>
        </w:rPr>
        <w:t xml:space="preserve"> J </w:t>
      </w:r>
      <w:r>
        <w:t xml:space="preserve">reactions and </w:t>
      </w:r>
      <w:r w:rsidRPr="00527B92">
        <w:rPr>
          <w:position w:val="-14"/>
        </w:rPr>
        <w:object w:dxaOrig="1120" w:dyaOrig="380">
          <v:shape id="_x0000_i1035" type="#_x0000_t75" style="width:56.1pt;height:19pt" o:ole="">
            <v:imagedata r:id="rId24" o:title=""/>
          </v:shape>
          <o:OLEObject Type="Embed" ProgID="Equation.DSMT4" ShapeID="_x0000_i1035" DrawAspect="Content" ObjectID="_1582104738" r:id="rId25"/>
        </w:object>
      </w:r>
      <w:r>
        <w:t xml:space="preserve"> </w:t>
      </w:r>
      <w:proofErr w:type="spellStart"/>
      <w:r>
        <w:t>and</w:t>
      </w:r>
      <w:proofErr w:type="spellEnd"/>
      <w:r>
        <w:t xml:space="preserve">, </w:t>
      </w:r>
    </w:p>
    <w:p w:rsidR="00D71716" w:rsidRDefault="00D71716" w:rsidP="00D71716">
      <w:pPr>
        <w:pStyle w:val="MTDisplayEquation"/>
      </w:pPr>
      <w:r>
        <w:tab/>
      </w:r>
      <w:r w:rsidRPr="00527B92">
        <w:rPr>
          <w:position w:val="-28"/>
        </w:rPr>
        <w:object w:dxaOrig="1719" w:dyaOrig="680">
          <v:shape id="_x0000_i1036" type="#_x0000_t75" style="width:85.7pt;height:34pt" o:ole="">
            <v:imagedata r:id="rId26" o:title=""/>
          </v:shape>
          <o:OLEObject Type="Embed" ProgID="Equation.DSMT4" ShapeID="_x0000_i1036" DrawAspect="Content" ObjectID="_1582104739" r:id="rId2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1</w:instrText>
      </w:r>
      <w:r>
        <w:rPr>
          <w:noProof/>
        </w:rPr>
        <w:fldChar w:fldCharType="end"/>
      </w:r>
      <w:r>
        <w:instrText>.</w:instrText>
      </w:r>
      <w:r>
        <w:fldChar w:fldCharType="begin"/>
      </w:r>
      <w:r>
        <w:instrText xml:space="preserve"> SEQ MTEqn \c \* Arabic \* MERGEFORMAT </w:instrText>
      </w:r>
      <w:r>
        <w:fldChar w:fldCharType="separate"/>
      </w:r>
      <w:r>
        <w:rPr>
          <w:noProof/>
        </w:rPr>
        <w:instrText>4</w:instrText>
      </w:r>
      <w:r>
        <w:rPr>
          <w:noProof/>
        </w:rPr>
        <w:fldChar w:fldCharType="end"/>
      </w:r>
      <w:r>
        <w:instrText>)</w:instrText>
      </w:r>
      <w:r>
        <w:fldChar w:fldCharType="end"/>
      </w:r>
    </w:p>
    <w:p w:rsidR="00D71716" w:rsidRDefault="00D71716" w:rsidP="00D71716">
      <w:pPr>
        <w:jc w:val="both"/>
      </w:pPr>
      <w:proofErr w:type="gramStart"/>
      <w:r>
        <w:t>the</w:t>
      </w:r>
      <w:proofErr w:type="gramEnd"/>
      <w:r>
        <w:t xml:space="preserve"> reaction rate of reaction </w:t>
      </w:r>
      <w:r w:rsidRPr="009C65BC">
        <w:rPr>
          <w:i/>
        </w:rPr>
        <w:t>j</w:t>
      </w:r>
      <w:r>
        <w:t xml:space="preserve">. Usually, the exponent is taken to be </w:t>
      </w:r>
      <w:r w:rsidRPr="00EE4F2B">
        <w:rPr>
          <w:position w:val="-14"/>
        </w:rPr>
        <w:object w:dxaOrig="760" w:dyaOrig="380">
          <v:shape id="_x0000_i1037" type="#_x0000_t75" style="width:38pt;height:19pt" o:ole="">
            <v:imagedata r:id="rId28" o:title=""/>
          </v:shape>
          <o:OLEObject Type="Embed" ProgID="Equation.DSMT4" ShapeID="_x0000_i1037" DrawAspect="Content" ObjectID="_1582104740" r:id="rId29"/>
        </w:object>
      </w:r>
      <w:r>
        <w:t>, as according to the law of mass action.</w:t>
      </w:r>
    </w:p>
    <w:p w:rsidR="00D71716" w:rsidRDefault="00D71716" w:rsidP="00D71716">
      <w:pPr>
        <w:pStyle w:val="Heading2"/>
      </w:pPr>
      <w:r>
        <w:t>Mixtures</w:t>
      </w:r>
    </w:p>
    <w:p w:rsidR="00D71716" w:rsidRDefault="00D71716" w:rsidP="00D71716">
      <w:pPr>
        <w:jc w:val="both"/>
      </w:pPr>
      <w:r>
        <w:t xml:space="preserve">Thus far, we considered the case where the solute is free, i.e. not inside a porous material. In the case if the solutes are contained inside a porous material, then the equations above remain valid, except now that the concentrations are with respect to the mixture volume. The ‘true’ </w:t>
      </w:r>
      <w:proofErr w:type="gramStart"/>
      <w:r>
        <w:t xml:space="preserve">concentration </w:t>
      </w:r>
      <w:r w:rsidRPr="002D6013">
        <w:rPr>
          <w:position w:val="-6"/>
        </w:rPr>
        <w:object w:dxaOrig="340" w:dyaOrig="340">
          <v:shape id="_x0000_i1047" type="#_x0000_t75" style="width:16.8pt;height:16.8pt" o:ole="">
            <v:imagedata r:id="rId30" o:title=""/>
          </v:shape>
          <o:OLEObject Type="Embed" ProgID="Equation.DSMT4" ShapeID="_x0000_i1047" DrawAspect="Content" ObjectID="_1582104741" r:id="rId31"/>
        </w:object>
      </w:r>
      <w:r>
        <w:t xml:space="preserve"> , i.e. the concentration w.r.t. to the solvent is related to the ‘bulk’ concentration via,</w:t>
      </w:r>
    </w:p>
    <w:p w:rsidR="00D71716" w:rsidRDefault="00D71716" w:rsidP="00D71716">
      <w:pPr>
        <w:pStyle w:val="MTDisplayEquation"/>
      </w:pPr>
      <w:r>
        <w:lastRenderedPageBreak/>
        <w:tab/>
      </w:r>
      <w:r w:rsidRPr="002D6013">
        <w:rPr>
          <w:position w:val="-10"/>
        </w:rPr>
        <w:object w:dxaOrig="1020" w:dyaOrig="380">
          <v:shape id="_x0000_i1038" type="#_x0000_t75" style="width:51.25pt;height:19pt" o:ole="">
            <v:imagedata r:id="rId32" o:title=""/>
          </v:shape>
          <o:OLEObject Type="Embed" ProgID="Equation.DSMT4" ShapeID="_x0000_i1038" DrawAspect="Content" ObjectID="_1582104742" r:id="rId3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1</w:instrText>
      </w:r>
      <w:r>
        <w:rPr>
          <w:noProof/>
        </w:rPr>
        <w:fldChar w:fldCharType="end"/>
      </w:r>
      <w:r>
        <w:instrText>.</w:instrText>
      </w:r>
      <w:r>
        <w:fldChar w:fldCharType="begin"/>
      </w:r>
      <w:r>
        <w:instrText xml:space="preserve"> SEQ MTEqn \c \* Arabic \* MERGEFORMAT </w:instrText>
      </w:r>
      <w:r>
        <w:fldChar w:fldCharType="separate"/>
      </w:r>
      <w:r>
        <w:rPr>
          <w:noProof/>
        </w:rPr>
        <w:instrText>5</w:instrText>
      </w:r>
      <w:r>
        <w:rPr>
          <w:noProof/>
        </w:rPr>
        <w:fldChar w:fldCharType="end"/>
      </w:r>
      <w:r>
        <w:instrText>)</w:instrText>
      </w:r>
      <w:r>
        <w:fldChar w:fldCharType="end"/>
      </w:r>
    </w:p>
    <w:p w:rsidR="00470F62" w:rsidRDefault="00D71716" w:rsidP="00D71716">
      <w:pPr>
        <w:jc w:val="both"/>
      </w:pPr>
      <w:proofErr w:type="gramStart"/>
      <w:r>
        <w:t>where</w:t>
      </w:r>
      <w:proofErr w:type="gramEnd"/>
      <w:r>
        <w:t xml:space="preserve"> </w:t>
      </w:r>
      <w:r w:rsidRPr="002D6013">
        <w:rPr>
          <w:position w:val="-10"/>
        </w:rPr>
        <w:object w:dxaOrig="220" w:dyaOrig="260">
          <v:shape id="_x0000_i1039" type="#_x0000_t75" style="width:11.05pt;height:13.25pt" o:ole="">
            <v:imagedata r:id="rId34" o:title=""/>
          </v:shape>
          <o:OLEObject Type="Embed" ProgID="Equation.DSMT4" ShapeID="_x0000_i1039" DrawAspect="Content" ObjectID="_1582104743" r:id="rId35"/>
        </w:object>
      </w:r>
      <w:r>
        <w:t xml:space="preserve"> is the </w:t>
      </w:r>
      <w:r w:rsidRPr="00C01B51">
        <w:rPr>
          <w:i/>
        </w:rPr>
        <w:t>fluid volume fraction</w:t>
      </w:r>
      <w:r>
        <w:t>, i.e. the fraction of the volume that is accessible to the fluid (and therefore to the solvents).</w:t>
      </w:r>
      <w:r>
        <w:t xml:space="preserve"> The </w:t>
      </w:r>
      <w:proofErr w:type="spellStart"/>
      <w:r>
        <w:t>FEBioChem</w:t>
      </w:r>
      <w:proofErr w:type="spellEnd"/>
      <w:r>
        <w:t xml:space="preserve"> plugin will report the true concentrations of the solution.</w:t>
      </w:r>
    </w:p>
    <w:p w:rsidR="00D71716" w:rsidRDefault="00D71716" w:rsidP="00D71716">
      <w:pPr>
        <w:jc w:val="both"/>
      </w:pPr>
      <w:r>
        <w:t xml:space="preserve">A </w:t>
      </w:r>
      <w:r>
        <w:t>mixture</w:t>
      </w:r>
      <w:r>
        <w:t xml:space="preserve"> is </w:t>
      </w:r>
      <w:r>
        <w:t xml:space="preserve">defined by two phases, a solid and a fluid phase. The fluid </w:t>
      </w:r>
      <w:r>
        <w:t xml:space="preserve">is </w:t>
      </w:r>
      <w:r>
        <w:t xml:space="preserve">assumed to be a solvent in which several species were dissolved. </w:t>
      </w:r>
      <w:r>
        <w:t xml:space="preserve">The </w:t>
      </w:r>
      <w:r>
        <w:t>volume fractions of the dissolved solutions are negligible and thus the solid and fluid volume fractions add up to unity.</w:t>
      </w:r>
    </w:p>
    <w:p w:rsidR="00D71716" w:rsidRDefault="00D71716" w:rsidP="00D71716">
      <w:pPr>
        <w:pStyle w:val="MTDisplayEquation"/>
      </w:pPr>
      <w:r>
        <w:tab/>
      </w:r>
      <w:r w:rsidRPr="00697F00">
        <w:rPr>
          <w:position w:val="-10"/>
        </w:rPr>
        <w:object w:dxaOrig="1120" w:dyaOrig="360">
          <v:shape id="_x0000_i1040" type="#_x0000_t75" style="width:56.1pt;height:18.1pt" o:ole="">
            <v:imagedata r:id="rId36" o:title=""/>
          </v:shape>
          <o:OLEObject Type="Embed" ProgID="Equation.DSMT4" ShapeID="_x0000_i1040" DrawAspect="Content" ObjectID="_1582104744" r:id="rId3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1</w:instrText>
      </w:r>
      <w:r>
        <w:rPr>
          <w:noProof/>
        </w:rPr>
        <w:fldChar w:fldCharType="end"/>
      </w:r>
      <w:r>
        <w:instrText>.</w:instrText>
      </w:r>
      <w:r>
        <w:fldChar w:fldCharType="begin"/>
      </w:r>
      <w:r>
        <w:instrText xml:space="preserve"> SEQ MTEqn \c \* Arabic \* MERGEFORMAT </w:instrText>
      </w:r>
      <w:r>
        <w:fldChar w:fldCharType="separate"/>
      </w:r>
      <w:r>
        <w:rPr>
          <w:noProof/>
        </w:rPr>
        <w:instrText>6</w:instrText>
      </w:r>
      <w:r>
        <w:rPr>
          <w:noProof/>
        </w:rPr>
        <w:fldChar w:fldCharType="end"/>
      </w:r>
      <w:r>
        <w:instrText>)</w:instrText>
      </w:r>
      <w:r>
        <w:fldChar w:fldCharType="end"/>
      </w:r>
    </w:p>
    <w:p w:rsidR="00D71716" w:rsidRDefault="00D71716" w:rsidP="00D71716">
      <w:r>
        <w:t xml:space="preserve">We now consider the case that a chemical species exists as part of the solid phase. Such a species is called a </w:t>
      </w:r>
      <w:r>
        <w:rPr>
          <w:i/>
        </w:rPr>
        <w:t>solid-bound molecule</w:t>
      </w:r>
      <w:r>
        <w:rPr>
          <w:i/>
        </w:rPr>
        <w:t xml:space="preserve"> </w:t>
      </w:r>
      <w:r>
        <w:t>(</w:t>
      </w:r>
      <w:proofErr w:type="spellStart"/>
      <w:r>
        <w:t>sbm</w:t>
      </w:r>
      <w:proofErr w:type="spellEnd"/>
      <w:r>
        <w:t>)</w:t>
      </w:r>
      <w:r>
        <w:t xml:space="preserve">. Since it is bound to the solid (immovable) phase, it is assumed that a solid-bound molecule does not undergo diffusion. Let us denote the apparent density of the </w:t>
      </w:r>
      <w:proofErr w:type="spellStart"/>
      <w:r>
        <w:t>sbm</w:t>
      </w:r>
      <w:proofErr w:type="spellEnd"/>
      <w:r>
        <w:t xml:space="preserve"> </w:t>
      </w:r>
      <w:proofErr w:type="gramStart"/>
      <w:r>
        <w:t xml:space="preserve">by </w:t>
      </w:r>
      <w:proofErr w:type="gramEnd"/>
      <w:r w:rsidRPr="00697F00">
        <w:rPr>
          <w:position w:val="-10"/>
        </w:rPr>
        <w:object w:dxaOrig="340" w:dyaOrig="360">
          <v:shape id="_x0000_i1041" type="#_x0000_t75" style="width:16.8pt;height:18.1pt" o:ole="">
            <v:imagedata r:id="rId38" o:title=""/>
          </v:shape>
          <o:OLEObject Type="Embed" ProgID="Equation.DSMT4" ShapeID="_x0000_i1041" DrawAspect="Content" ObjectID="_1582104745" r:id="rId39"/>
        </w:object>
      </w:r>
      <w:r>
        <w:t>. It then follows that the governing equation for a solid-bound molecule is given by,</w:t>
      </w:r>
    </w:p>
    <w:p w:rsidR="00D71716" w:rsidRDefault="00D71716" w:rsidP="00D71716">
      <w:pPr>
        <w:pStyle w:val="MTDisplayEquation"/>
      </w:pPr>
      <w:r>
        <w:tab/>
      </w:r>
      <w:r w:rsidRPr="00697F00">
        <w:rPr>
          <w:position w:val="-24"/>
        </w:rPr>
        <w:object w:dxaOrig="1060" w:dyaOrig="660">
          <v:shape id="_x0000_i1042" type="#_x0000_t75" style="width:53pt;height:32.7pt" o:ole="">
            <v:imagedata r:id="rId40" o:title=""/>
          </v:shape>
          <o:OLEObject Type="Embed" ProgID="Equation.DSMT4" ShapeID="_x0000_i1042" DrawAspect="Content" ObjectID="_1582104746" r:id="rId4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0" w:name="ZEqnNum484367"/>
      <w:r>
        <w:instrText>(</w:instrText>
      </w:r>
      <w:r>
        <w:fldChar w:fldCharType="begin"/>
      </w:r>
      <w:r>
        <w:instrText xml:space="preserve"> SEQ MTSec \c \* Arabic \* MERGEFORMAT </w:instrText>
      </w:r>
      <w:r>
        <w:fldChar w:fldCharType="separate"/>
      </w:r>
      <w:r>
        <w:rPr>
          <w:noProof/>
        </w:rPr>
        <w:instrText>1</w:instrText>
      </w:r>
      <w:r>
        <w:rPr>
          <w:noProof/>
        </w:rPr>
        <w:fldChar w:fldCharType="end"/>
      </w:r>
      <w:r>
        <w:instrText>.</w:instrText>
      </w:r>
      <w:r>
        <w:fldChar w:fldCharType="begin"/>
      </w:r>
      <w:r>
        <w:instrText xml:space="preserve"> SEQ MTEqn \c \* Arabic \* MERGEFORMAT </w:instrText>
      </w:r>
      <w:r>
        <w:fldChar w:fldCharType="separate"/>
      </w:r>
      <w:r>
        <w:rPr>
          <w:noProof/>
        </w:rPr>
        <w:instrText>7</w:instrText>
      </w:r>
      <w:r>
        <w:rPr>
          <w:noProof/>
        </w:rPr>
        <w:fldChar w:fldCharType="end"/>
      </w:r>
      <w:r>
        <w:instrText>)</w:instrText>
      </w:r>
      <w:bookmarkEnd w:id="0"/>
      <w:r>
        <w:fldChar w:fldCharType="end"/>
      </w:r>
    </w:p>
    <w:p w:rsidR="00D71716" w:rsidRDefault="00D71716" w:rsidP="00D71716">
      <w:r>
        <w:t xml:space="preserve"> </w:t>
      </w:r>
      <w:proofErr w:type="gramStart"/>
      <w:r>
        <w:t>where</w:t>
      </w:r>
      <w:proofErr w:type="gramEnd"/>
      <w:r>
        <w:t xml:space="preserve"> </w:t>
      </w:r>
      <w:r w:rsidRPr="00697F00">
        <w:rPr>
          <w:position w:val="-10"/>
        </w:rPr>
        <w:object w:dxaOrig="340" w:dyaOrig="360">
          <v:shape id="_x0000_i1043" type="#_x0000_t75" style="width:16.8pt;height:18.1pt" o:ole="">
            <v:imagedata r:id="rId42" o:title=""/>
          </v:shape>
          <o:OLEObject Type="Embed" ProgID="Equation.DSMT4" ShapeID="_x0000_i1043" DrawAspect="Content" ObjectID="_1582104747" r:id="rId43"/>
        </w:object>
      </w:r>
      <w:r>
        <w:t xml:space="preserve"> is the mass supply for the </w:t>
      </w:r>
      <w:proofErr w:type="spellStart"/>
      <w:r>
        <w:t>sbm</w:t>
      </w:r>
      <w:proofErr w:type="spellEnd"/>
      <w:r>
        <w:t>. In this context, the mass supply will be calculated from the chemical reactions.</w:t>
      </w:r>
    </w:p>
    <w:p w:rsidR="00D71716" w:rsidRDefault="00D71716" w:rsidP="00D71716">
      <w:r>
        <w:t>A change in the apparent density of an SBM has an effect of the solid volume fraction, which is now defined via,</w:t>
      </w:r>
    </w:p>
    <w:p w:rsidR="00D71716" w:rsidRDefault="00D71716" w:rsidP="00D71716">
      <w:pPr>
        <w:pStyle w:val="MTDisplayEquation"/>
      </w:pPr>
      <w:r>
        <w:tab/>
      </w:r>
      <w:r w:rsidRPr="00475713">
        <w:rPr>
          <w:position w:val="-28"/>
        </w:rPr>
        <w:object w:dxaOrig="1560" w:dyaOrig="540">
          <v:shape id="_x0000_i1044" type="#_x0000_t75" style="width:77.75pt;height:26.95pt" o:ole="">
            <v:imagedata r:id="rId44" o:title=""/>
          </v:shape>
          <o:OLEObject Type="Embed" ProgID="Equation.DSMT4" ShapeID="_x0000_i1044" DrawAspect="Content" ObjectID="_1582104748" r:id="rId4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1</w:instrText>
      </w:r>
      <w:r>
        <w:rPr>
          <w:noProof/>
        </w:rPr>
        <w:fldChar w:fldCharType="end"/>
      </w:r>
      <w:r>
        <w:instrText>.</w:instrText>
      </w:r>
      <w:r>
        <w:fldChar w:fldCharType="begin"/>
      </w:r>
      <w:r>
        <w:instrText xml:space="preserve"> SEQ MTEqn \c \* Arabic \* MERGEFORMAT </w:instrText>
      </w:r>
      <w:r>
        <w:fldChar w:fldCharType="separate"/>
      </w:r>
      <w:r>
        <w:rPr>
          <w:noProof/>
        </w:rPr>
        <w:instrText>8</w:instrText>
      </w:r>
      <w:r>
        <w:rPr>
          <w:noProof/>
        </w:rPr>
        <w:fldChar w:fldCharType="end"/>
      </w:r>
      <w:r>
        <w:instrText>)</w:instrText>
      </w:r>
      <w:r>
        <w:fldChar w:fldCharType="end"/>
      </w:r>
    </w:p>
    <w:p w:rsidR="00D71716" w:rsidRDefault="00D71716" w:rsidP="00D71716">
      <w:proofErr w:type="gramStart"/>
      <w:r>
        <w:t>where</w:t>
      </w:r>
      <w:proofErr w:type="gramEnd"/>
      <w:r>
        <w:t xml:space="preserve"> the volume fraction of the </w:t>
      </w:r>
      <w:proofErr w:type="spellStart"/>
      <w:r>
        <w:t>sbm</w:t>
      </w:r>
      <w:proofErr w:type="spellEnd"/>
      <w:r>
        <w:t xml:space="preserve"> is defined via,</w:t>
      </w:r>
    </w:p>
    <w:p w:rsidR="00D71716" w:rsidRDefault="00D71716" w:rsidP="00D71716">
      <w:pPr>
        <w:pStyle w:val="MTDisplayEquation"/>
      </w:pPr>
      <w:r>
        <w:tab/>
      </w:r>
      <w:r w:rsidRPr="00475713">
        <w:rPr>
          <w:position w:val="-30"/>
        </w:rPr>
        <w:object w:dxaOrig="920" w:dyaOrig="720">
          <v:shape id="_x0000_i1045" type="#_x0000_t75" style="width:45.95pt;height:36.2pt" o:ole="">
            <v:imagedata r:id="rId46" o:title=""/>
          </v:shape>
          <o:OLEObject Type="Embed" ProgID="Equation.DSMT4" ShapeID="_x0000_i1045" DrawAspect="Content" ObjectID="_1582104749" r:id="rId4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1</w:instrText>
      </w:r>
      <w:r>
        <w:rPr>
          <w:noProof/>
        </w:rPr>
        <w:fldChar w:fldCharType="end"/>
      </w:r>
      <w:r>
        <w:instrText>.</w:instrText>
      </w:r>
      <w:r>
        <w:fldChar w:fldCharType="begin"/>
      </w:r>
      <w:r>
        <w:instrText xml:space="preserve"> SEQ MTEqn \c \* Arabic \* MERGEFORMAT </w:instrText>
      </w:r>
      <w:r>
        <w:fldChar w:fldCharType="separate"/>
      </w:r>
      <w:r>
        <w:rPr>
          <w:noProof/>
        </w:rPr>
        <w:instrText>9</w:instrText>
      </w:r>
      <w:r>
        <w:rPr>
          <w:noProof/>
        </w:rPr>
        <w:fldChar w:fldCharType="end"/>
      </w:r>
      <w:r>
        <w:instrText>)</w:instrText>
      </w:r>
      <w:r>
        <w:fldChar w:fldCharType="end"/>
      </w:r>
    </w:p>
    <w:p w:rsidR="00D71716" w:rsidRPr="00475713" w:rsidRDefault="00D71716" w:rsidP="00D71716">
      <w:r>
        <w:t xml:space="preserve">That is, it is the ratio of the apparent density over the true density of the </w:t>
      </w:r>
      <w:proofErr w:type="spellStart"/>
      <w:r>
        <w:t>sbm</w:t>
      </w:r>
      <w:proofErr w:type="spellEnd"/>
      <w:r>
        <w:t xml:space="preserve">. The fluid volume fraction, or porosity, is then defined </w:t>
      </w:r>
      <w:proofErr w:type="gramStart"/>
      <w:r>
        <w:t xml:space="preserve">via </w:t>
      </w:r>
      <w:proofErr w:type="gramEnd"/>
      <w:r w:rsidRPr="00475713">
        <w:rPr>
          <w:position w:val="-10"/>
        </w:rPr>
        <w:object w:dxaOrig="960" w:dyaOrig="360">
          <v:shape id="_x0000_i1046" type="#_x0000_t75" style="width:47.7pt;height:18.1pt" o:ole="">
            <v:imagedata r:id="rId48" o:title=""/>
          </v:shape>
          <o:OLEObject Type="Embed" ProgID="Equation.DSMT4" ShapeID="_x0000_i1046" DrawAspect="Content" ObjectID="_1582104750" r:id="rId49"/>
        </w:object>
      </w:r>
      <w:r>
        <w:t xml:space="preserve">. </w:t>
      </w:r>
    </w:p>
    <w:p w:rsidR="00D71716" w:rsidRDefault="00D71716" w:rsidP="00D71716">
      <w:pPr>
        <w:pStyle w:val="Heading1"/>
      </w:pPr>
      <w:r>
        <w:t xml:space="preserve">Using the </w:t>
      </w:r>
      <w:proofErr w:type="spellStart"/>
      <w:r>
        <w:t>FEBioChem</w:t>
      </w:r>
      <w:proofErr w:type="spellEnd"/>
      <w:r>
        <w:t xml:space="preserve"> plugin</w:t>
      </w:r>
    </w:p>
    <w:p w:rsidR="00D71716" w:rsidRDefault="00D71716" w:rsidP="00D71716">
      <w:r>
        <w:t xml:space="preserve">Like any other FEBio plugin, the plugin must be placed in a folder and the path to the plugin must be defined in the FEBio configuration file. This file is usually called </w:t>
      </w:r>
      <w:r>
        <w:rPr>
          <w:i/>
        </w:rPr>
        <w:t xml:space="preserve">febio.xml </w:t>
      </w:r>
      <w:r>
        <w:t>and can be found in the same location as the FEBio executable. In this file, add the following line:</w:t>
      </w:r>
    </w:p>
    <w:p w:rsidR="00D71716" w:rsidRDefault="003801C6" w:rsidP="00D71716">
      <w:pPr>
        <w:pStyle w:val="Code"/>
      </w:pPr>
      <w:r>
        <w:t>&lt;import&gt;C:\path\to\</w:t>
      </w:r>
      <w:proofErr w:type="spellStart"/>
      <w:r>
        <w:t>febio</w:t>
      </w:r>
      <w:proofErr w:type="spellEnd"/>
      <w:r>
        <w:t>\plugin\FEBioChem.dll&lt;/import&gt;</w:t>
      </w:r>
    </w:p>
    <w:p w:rsidR="00D71716" w:rsidRDefault="003801C6" w:rsidP="00D71716">
      <w:r>
        <w:t xml:space="preserve">Make sure to include the full path name and file name of the plugin. When FEBio starts it will read the configuration file and load all the plugins defined therein. A message will be shown to the screen to inform the user whether the plugin was loaded successfully or not. </w:t>
      </w:r>
    </w:p>
    <w:p w:rsidR="003801C6" w:rsidRDefault="003801C6" w:rsidP="003801C6">
      <w:pPr>
        <w:pStyle w:val="Heading1"/>
      </w:pPr>
      <w:r>
        <w:lastRenderedPageBreak/>
        <w:t xml:space="preserve">Defining a </w:t>
      </w:r>
      <w:proofErr w:type="spellStart"/>
      <w:r>
        <w:t>FEBioChem</w:t>
      </w:r>
      <w:proofErr w:type="spellEnd"/>
      <w:r>
        <w:t xml:space="preserve"> model</w:t>
      </w:r>
    </w:p>
    <w:p w:rsidR="003801C6" w:rsidRDefault="003801C6" w:rsidP="003801C6">
      <w:r>
        <w:t xml:space="preserve">For the most part </w:t>
      </w:r>
      <w:proofErr w:type="gramStart"/>
      <w:r>
        <w:t>an</w:t>
      </w:r>
      <w:proofErr w:type="gramEnd"/>
      <w:r>
        <w:t xml:space="preserve"> </w:t>
      </w:r>
      <w:proofErr w:type="spellStart"/>
      <w:r>
        <w:t>FEBioChem</w:t>
      </w:r>
      <w:proofErr w:type="spellEnd"/>
      <w:r>
        <w:t xml:space="preserve"> model is a standard FEBio model with a few modifications. These are discussed in the following sections.</w:t>
      </w:r>
      <w:r w:rsidR="00DF0231">
        <w:t xml:space="preserve"> Note that this user’s manual assumes version 2.5 of the FEBio file format. </w:t>
      </w:r>
    </w:p>
    <w:p w:rsidR="003801C6" w:rsidRDefault="003801C6" w:rsidP="003801C6">
      <w:pPr>
        <w:pStyle w:val="Heading2"/>
      </w:pPr>
      <w:r>
        <w:t>Module</w:t>
      </w:r>
    </w:p>
    <w:p w:rsidR="003801C6" w:rsidRDefault="003801C6" w:rsidP="003801C6">
      <w:r>
        <w:t xml:space="preserve">The </w:t>
      </w:r>
      <w:r>
        <w:rPr>
          <w:i/>
        </w:rPr>
        <w:t xml:space="preserve">type </w:t>
      </w:r>
      <w:r>
        <w:t xml:space="preserve">attribute of </w:t>
      </w:r>
      <w:r w:rsidRPr="003801C6">
        <w:rPr>
          <w:i/>
        </w:rPr>
        <w:t>Module</w:t>
      </w:r>
      <w:r>
        <w:t xml:space="preserve"> tag needs the value </w:t>
      </w:r>
      <w:r>
        <w:rPr>
          <w:i/>
        </w:rPr>
        <w:t>reaction-diffusion</w:t>
      </w:r>
      <w:r>
        <w:t xml:space="preserve">. </w:t>
      </w:r>
    </w:p>
    <w:p w:rsidR="003801C6" w:rsidRDefault="003801C6" w:rsidP="003801C6">
      <w:pPr>
        <w:pStyle w:val="Code"/>
      </w:pPr>
      <w:r>
        <w:t>&lt;Module type="reaction-diffusion"/&gt;</w:t>
      </w:r>
    </w:p>
    <w:p w:rsidR="003801C6" w:rsidRDefault="003801C6" w:rsidP="003801C6">
      <w:r>
        <w:t xml:space="preserve">This will inform FEBio to load the reaction-diffusion solver that is part of the </w:t>
      </w:r>
      <w:proofErr w:type="spellStart"/>
      <w:r>
        <w:t>FEBioChem</w:t>
      </w:r>
      <w:proofErr w:type="spellEnd"/>
      <w:r>
        <w:t xml:space="preserve"> plugin.</w:t>
      </w:r>
    </w:p>
    <w:p w:rsidR="003801C6" w:rsidRDefault="003801C6" w:rsidP="003801C6">
      <w:pPr>
        <w:pStyle w:val="Heading2"/>
      </w:pPr>
      <w:proofErr w:type="spellStart"/>
      <w:r>
        <w:t>Globals</w:t>
      </w:r>
      <w:proofErr w:type="spellEnd"/>
    </w:p>
    <w:p w:rsidR="003801C6" w:rsidRDefault="003801C6" w:rsidP="003801C6">
      <w:r>
        <w:t xml:space="preserve">The chemical species that are used in the model are defined in the </w:t>
      </w:r>
      <w:proofErr w:type="spellStart"/>
      <w:r>
        <w:rPr>
          <w:i/>
        </w:rPr>
        <w:t>Globals</w:t>
      </w:r>
      <w:proofErr w:type="spellEnd"/>
      <w:r>
        <w:rPr>
          <w:i/>
        </w:rPr>
        <w:t xml:space="preserve"> </w:t>
      </w:r>
      <w:r>
        <w:t>section. The species are defined identically to the way they are defined for a multiphasic problem and we refer to the FEBio user’s manual. The following caveat applies:</w:t>
      </w:r>
    </w:p>
    <w:p w:rsidR="003801C6" w:rsidRDefault="003801C6" w:rsidP="003801C6">
      <w:pPr>
        <w:pStyle w:val="ListParagraph"/>
        <w:numPr>
          <w:ilvl w:val="0"/>
          <w:numId w:val="2"/>
        </w:numPr>
      </w:pPr>
      <w:r>
        <w:t xml:space="preserve">A </w:t>
      </w:r>
      <w:r>
        <w:rPr>
          <w:i/>
        </w:rPr>
        <w:t xml:space="preserve">solute </w:t>
      </w:r>
      <w:r w:rsidR="00E00E37">
        <w:t xml:space="preserve">defines a chemical species that is not bound to the solid phase of a mixture. If a model doesn’t represent a mixture, each solute defines a chemical species. No child properties need to be defined for a solute. </w:t>
      </w:r>
    </w:p>
    <w:p w:rsidR="00E00E37" w:rsidRPr="003801C6" w:rsidRDefault="00E00E37" w:rsidP="003801C6">
      <w:pPr>
        <w:pStyle w:val="ListParagraph"/>
        <w:numPr>
          <w:ilvl w:val="0"/>
          <w:numId w:val="2"/>
        </w:numPr>
      </w:pPr>
      <w:r>
        <w:t xml:space="preserve">A </w:t>
      </w:r>
      <w:proofErr w:type="spellStart"/>
      <w:r>
        <w:rPr>
          <w:i/>
        </w:rPr>
        <w:t>solid_bound</w:t>
      </w:r>
      <w:proofErr w:type="spellEnd"/>
      <w:r>
        <w:rPr>
          <w:i/>
        </w:rPr>
        <w:t xml:space="preserve"> </w:t>
      </w:r>
      <w:r>
        <w:t>defines a chemical species that is bound to the solid-phase of a mixture. Again, no child properties need to be defined for a solid bound species.</w:t>
      </w:r>
    </w:p>
    <w:p w:rsidR="003801C6" w:rsidRDefault="003801C6" w:rsidP="003801C6">
      <w:pPr>
        <w:pStyle w:val="Heading2"/>
      </w:pPr>
      <w:r>
        <w:t>Material</w:t>
      </w:r>
    </w:p>
    <w:p w:rsidR="003801C6" w:rsidRDefault="003801C6" w:rsidP="003801C6">
      <w:r>
        <w:t xml:space="preserve">The material type needed by this plugin is </w:t>
      </w:r>
      <w:r>
        <w:rPr>
          <w:i/>
        </w:rPr>
        <w:t xml:space="preserve">reaction-diffusion. </w:t>
      </w:r>
      <w:r>
        <w:t xml:space="preserve">It needs the following material properties. Note that not all are required. </w:t>
      </w:r>
    </w:p>
    <w:tbl>
      <w:tblPr>
        <w:tblStyle w:val="TableGrid"/>
        <w:tblW w:w="0" w:type="auto"/>
        <w:tblLook w:val="04A0" w:firstRow="1" w:lastRow="0" w:firstColumn="1" w:lastColumn="0" w:noHBand="0" w:noVBand="1"/>
      </w:tblPr>
      <w:tblGrid>
        <w:gridCol w:w="2425"/>
        <w:gridCol w:w="6925"/>
      </w:tblGrid>
      <w:tr w:rsidR="003801C6" w:rsidTr="003801C6">
        <w:tc>
          <w:tcPr>
            <w:tcW w:w="2425" w:type="dxa"/>
          </w:tcPr>
          <w:p w:rsidR="003801C6" w:rsidRPr="003801C6" w:rsidRDefault="003801C6" w:rsidP="003801C6">
            <w:pPr>
              <w:rPr>
                <w:b/>
              </w:rPr>
            </w:pPr>
            <w:r w:rsidRPr="003801C6">
              <w:rPr>
                <w:b/>
              </w:rPr>
              <w:t>Property</w:t>
            </w:r>
          </w:p>
        </w:tc>
        <w:tc>
          <w:tcPr>
            <w:tcW w:w="6925" w:type="dxa"/>
          </w:tcPr>
          <w:p w:rsidR="003801C6" w:rsidRPr="003801C6" w:rsidRDefault="003801C6" w:rsidP="003801C6">
            <w:pPr>
              <w:rPr>
                <w:b/>
              </w:rPr>
            </w:pPr>
            <w:r w:rsidRPr="003801C6">
              <w:rPr>
                <w:b/>
              </w:rPr>
              <w:t>Description</w:t>
            </w:r>
          </w:p>
        </w:tc>
      </w:tr>
      <w:tr w:rsidR="0066272C" w:rsidTr="003801C6">
        <w:tc>
          <w:tcPr>
            <w:tcW w:w="2425" w:type="dxa"/>
          </w:tcPr>
          <w:p w:rsidR="0066272C" w:rsidRDefault="0066272C" w:rsidP="003801C6">
            <w:pPr>
              <w:rPr>
                <w:i/>
              </w:rPr>
            </w:pPr>
            <w:proofErr w:type="spellStart"/>
            <w:r>
              <w:rPr>
                <w:i/>
              </w:rPr>
              <w:t>solid_volume_fraction</w:t>
            </w:r>
            <w:proofErr w:type="spellEnd"/>
          </w:p>
        </w:tc>
        <w:tc>
          <w:tcPr>
            <w:tcW w:w="6925" w:type="dxa"/>
          </w:tcPr>
          <w:p w:rsidR="0066272C" w:rsidRDefault="0066272C" w:rsidP="003801C6">
            <w:r>
              <w:t>The volume fraction of the solid phase</w:t>
            </w:r>
          </w:p>
        </w:tc>
      </w:tr>
      <w:tr w:rsidR="003801C6" w:rsidTr="003801C6">
        <w:tc>
          <w:tcPr>
            <w:tcW w:w="2425" w:type="dxa"/>
          </w:tcPr>
          <w:p w:rsidR="003801C6" w:rsidRPr="003801C6" w:rsidRDefault="003801C6" w:rsidP="003801C6">
            <w:r>
              <w:rPr>
                <w:i/>
              </w:rPr>
              <w:t>species</w:t>
            </w:r>
          </w:p>
        </w:tc>
        <w:tc>
          <w:tcPr>
            <w:tcW w:w="6925" w:type="dxa"/>
          </w:tcPr>
          <w:p w:rsidR="003801C6" w:rsidRDefault="003801C6" w:rsidP="003801C6">
            <w:r>
              <w:t>Specifies the properties of a chemical species</w:t>
            </w:r>
          </w:p>
        </w:tc>
      </w:tr>
      <w:tr w:rsidR="003801C6" w:rsidTr="003801C6">
        <w:tc>
          <w:tcPr>
            <w:tcW w:w="2425" w:type="dxa"/>
          </w:tcPr>
          <w:p w:rsidR="003801C6" w:rsidRPr="003801C6" w:rsidRDefault="003801C6" w:rsidP="003801C6">
            <w:pPr>
              <w:rPr>
                <w:i/>
              </w:rPr>
            </w:pPr>
            <w:proofErr w:type="spellStart"/>
            <w:r>
              <w:rPr>
                <w:i/>
              </w:rPr>
              <w:t>solid_bound_species</w:t>
            </w:r>
            <w:proofErr w:type="spellEnd"/>
          </w:p>
        </w:tc>
        <w:tc>
          <w:tcPr>
            <w:tcW w:w="6925" w:type="dxa"/>
          </w:tcPr>
          <w:p w:rsidR="003801C6" w:rsidRDefault="003801C6" w:rsidP="003801C6">
            <w:r>
              <w:t>Specifies a species that remains bound to the solid phase of the mixture.</w:t>
            </w:r>
          </w:p>
        </w:tc>
      </w:tr>
      <w:tr w:rsidR="003801C6" w:rsidTr="003801C6">
        <w:tc>
          <w:tcPr>
            <w:tcW w:w="2425" w:type="dxa"/>
          </w:tcPr>
          <w:p w:rsidR="003801C6" w:rsidRPr="003801C6" w:rsidRDefault="003801C6" w:rsidP="003801C6">
            <w:pPr>
              <w:rPr>
                <w:i/>
              </w:rPr>
            </w:pPr>
            <w:r>
              <w:rPr>
                <w:i/>
              </w:rPr>
              <w:t>reaction</w:t>
            </w:r>
          </w:p>
        </w:tc>
        <w:tc>
          <w:tcPr>
            <w:tcW w:w="6925" w:type="dxa"/>
          </w:tcPr>
          <w:p w:rsidR="003801C6" w:rsidRDefault="003801C6" w:rsidP="003801C6">
            <w:r>
              <w:t>Specifies the chemical reaction.</w:t>
            </w:r>
          </w:p>
        </w:tc>
      </w:tr>
    </w:tbl>
    <w:p w:rsidR="003801C6" w:rsidRDefault="003801C6" w:rsidP="003801C6"/>
    <w:p w:rsidR="0066272C" w:rsidRPr="0066272C" w:rsidRDefault="0066272C" w:rsidP="003801C6">
      <w:r>
        <w:t xml:space="preserve">The </w:t>
      </w:r>
      <w:proofErr w:type="spellStart"/>
      <w:r>
        <w:rPr>
          <w:i/>
        </w:rPr>
        <w:t>solid_volume_fraction</w:t>
      </w:r>
      <w:proofErr w:type="spellEnd"/>
      <w:r>
        <w:rPr>
          <w:i/>
        </w:rPr>
        <w:t xml:space="preserve"> </w:t>
      </w:r>
      <w:r>
        <w:t xml:space="preserve">is only required when modeling a mixture. It has an initial value of zero. </w:t>
      </w:r>
    </w:p>
    <w:p w:rsidR="003801C6" w:rsidRDefault="00E00E37" w:rsidP="00E00E37">
      <w:pPr>
        <w:pStyle w:val="Heading3"/>
      </w:pPr>
      <w:proofErr w:type="gramStart"/>
      <w:r>
        <w:t>species</w:t>
      </w:r>
      <w:proofErr w:type="gramEnd"/>
      <w:r>
        <w:t xml:space="preserve"> property</w:t>
      </w:r>
    </w:p>
    <w:p w:rsidR="00E00E37" w:rsidRDefault="00E00E37" w:rsidP="00E00E37">
      <w:r>
        <w:t xml:space="preserve">Each chemical species that is used by the material must be defined in the material’s definition. (Note that this can be less than the total number of species in the model, as defined by the </w:t>
      </w:r>
      <w:proofErr w:type="spellStart"/>
      <w:r>
        <w:t>Globals</w:t>
      </w:r>
      <w:proofErr w:type="spellEnd"/>
      <w:r>
        <w:t xml:space="preserve"> section.). A particular species is reference by name. For each species, the </w:t>
      </w:r>
      <w:r>
        <w:rPr>
          <w:i/>
        </w:rPr>
        <w:t xml:space="preserve">diffusivity </w:t>
      </w:r>
      <w:r>
        <w:t xml:space="preserve">parameter must be defined. </w:t>
      </w:r>
    </w:p>
    <w:p w:rsidR="00E00E37" w:rsidRDefault="00E00E37" w:rsidP="00E00E37">
      <w:pPr>
        <w:pStyle w:val="Code"/>
      </w:pPr>
      <w:r>
        <w:t>&lt;species name="A"&gt;</w:t>
      </w:r>
    </w:p>
    <w:p w:rsidR="00E00E37" w:rsidRDefault="00E00E37" w:rsidP="00E00E37">
      <w:pPr>
        <w:pStyle w:val="Code"/>
        <w:ind w:firstLine="720"/>
      </w:pPr>
      <w:r>
        <w:t>&lt;</w:t>
      </w:r>
      <w:proofErr w:type="gramStart"/>
      <w:r>
        <w:t>diffusivity&gt;</w:t>
      </w:r>
      <w:proofErr w:type="gramEnd"/>
      <w:r>
        <w:t>0.05&lt;/diffusivity&gt;</w:t>
      </w:r>
    </w:p>
    <w:p w:rsidR="00E00E37" w:rsidRDefault="00E00E37" w:rsidP="00E00E37">
      <w:pPr>
        <w:pStyle w:val="Code"/>
      </w:pPr>
      <w:r>
        <w:t>&lt;/species&gt;</w:t>
      </w:r>
    </w:p>
    <w:p w:rsidR="00E00E37" w:rsidRDefault="00E00E37" w:rsidP="00E00E37"/>
    <w:p w:rsidR="00E00E37" w:rsidRDefault="00E00E37" w:rsidP="00E00E37">
      <w:pPr>
        <w:pStyle w:val="Heading3"/>
      </w:pPr>
      <w:proofErr w:type="spellStart"/>
      <w:proofErr w:type="gramStart"/>
      <w:r>
        <w:t>solid_bound_species</w:t>
      </w:r>
      <w:proofErr w:type="spellEnd"/>
      <w:proofErr w:type="gramEnd"/>
      <w:r>
        <w:t xml:space="preserve"> property</w:t>
      </w:r>
    </w:p>
    <w:p w:rsidR="00E00E37" w:rsidRDefault="00E00E37" w:rsidP="00E00E37">
      <w:r>
        <w:t xml:space="preserve">Each solid-bound chemical species that is used by the material must be included in the material’s definition. (Note that this can be less than the total number of species in the model, as defined by the </w:t>
      </w:r>
      <w:proofErr w:type="spellStart"/>
      <w:r>
        <w:t>Globals</w:t>
      </w:r>
      <w:proofErr w:type="spellEnd"/>
      <w:r>
        <w:t xml:space="preserve"> section.). For each solid-bound species, define the following material parameters.</w:t>
      </w:r>
    </w:p>
    <w:p w:rsidR="0066272C" w:rsidRDefault="0066272C" w:rsidP="00E00E37"/>
    <w:tbl>
      <w:tblPr>
        <w:tblStyle w:val="TableGrid"/>
        <w:tblW w:w="0" w:type="auto"/>
        <w:tblLook w:val="04A0" w:firstRow="1" w:lastRow="0" w:firstColumn="1" w:lastColumn="0" w:noHBand="0" w:noVBand="1"/>
      </w:tblPr>
      <w:tblGrid>
        <w:gridCol w:w="1889"/>
        <w:gridCol w:w="6296"/>
        <w:gridCol w:w="1165"/>
      </w:tblGrid>
      <w:tr w:rsidR="0066272C" w:rsidTr="0066272C">
        <w:tc>
          <w:tcPr>
            <w:tcW w:w="1889" w:type="dxa"/>
          </w:tcPr>
          <w:p w:rsidR="0066272C" w:rsidRPr="00E00E37" w:rsidRDefault="0066272C" w:rsidP="00E00E37">
            <w:pPr>
              <w:rPr>
                <w:b/>
              </w:rPr>
            </w:pPr>
            <w:r w:rsidRPr="00E00E37">
              <w:rPr>
                <w:b/>
              </w:rPr>
              <w:t>Parameter</w:t>
            </w:r>
          </w:p>
        </w:tc>
        <w:tc>
          <w:tcPr>
            <w:tcW w:w="6296" w:type="dxa"/>
          </w:tcPr>
          <w:p w:rsidR="0066272C" w:rsidRPr="00E00E37" w:rsidRDefault="0066272C" w:rsidP="00E00E37">
            <w:pPr>
              <w:rPr>
                <w:b/>
              </w:rPr>
            </w:pPr>
            <w:r w:rsidRPr="00E00E37">
              <w:rPr>
                <w:b/>
              </w:rPr>
              <w:t>Description</w:t>
            </w:r>
          </w:p>
        </w:tc>
        <w:tc>
          <w:tcPr>
            <w:tcW w:w="1165" w:type="dxa"/>
          </w:tcPr>
          <w:p w:rsidR="0066272C" w:rsidRPr="00E00E37" w:rsidRDefault="0066272C" w:rsidP="00E00E37">
            <w:pPr>
              <w:rPr>
                <w:b/>
              </w:rPr>
            </w:pPr>
            <w:r>
              <w:rPr>
                <w:b/>
              </w:rPr>
              <w:t>Default</w:t>
            </w:r>
          </w:p>
        </w:tc>
      </w:tr>
      <w:tr w:rsidR="0066272C" w:rsidTr="0066272C">
        <w:tc>
          <w:tcPr>
            <w:tcW w:w="1889" w:type="dxa"/>
          </w:tcPr>
          <w:p w:rsidR="0066272C" w:rsidRPr="0066272C" w:rsidRDefault="0066272C" w:rsidP="00E00E37">
            <w:pPr>
              <w:rPr>
                <w:i/>
              </w:rPr>
            </w:pPr>
            <w:r>
              <w:rPr>
                <w:i/>
              </w:rPr>
              <w:t>rho0</w:t>
            </w:r>
          </w:p>
        </w:tc>
        <w:tc>
          <w:tcPr>
            <w:tcW w:w="6296" w:type="dxa"/>
          </w:tcPr>
          <w:p w:rsidR="0066272C" w:rsidRDefault="0066272C" w:rsidP="00E00E37">
            <w:r>
              <w:t>Initial apparent density (w.r.t. the mixture volume)</w:t>
            </w:r>
          </w:p>
        </w:tc>
        <w:tc>
          <w:tcPr>
            <w:tcW w:w="1165" w:type="dxa"/>
          </w:tcPr>
          <w:p w:rsidR="0066272C" w:rsidRDefault="0066272C" w:rsidP="00E00E37">
            <w:r>
              <w:t>0</w:t>
            </w:r>
          </w:p>
        </w:tc>
      </w:tr>
      <w:tr w:rsidR="0066272C" w:rsidTr="0066272C">
        <w:tc>
          <w:tcPr>
            <w:tcW w:w="1889" w:type="dxa"/>
          </w:tcPr>
          <w:p w:rsidR="0066272C" w:rsidRDefault="0066272C" w:rsidP="00E00E37">
            <w:pPr>
              <w:rPr>
                <w:i/>
              </w:rPr>
            </w:pPr>
            <w:r>
              <w:rPr>
                <w:i/>
              </w:rPr>
              <w:t>density</w:t>
            </w:r>
          </w:p>
        </w:tc>
        <w:tc>
          <w:tcPr>
            <w:tcW w:w="6296" w:type="dxa"/>
          </w:tcPr>
          <w:p w:rsidR="0066272C" w:rsidRDefault="0066272C" w:rsidP="00E00E37">
            <w:r>
              <w:t>The true density of the solid-bound species</w:t>
            </w:r>
          </w:p>
        </w:tc>
        <w:tc>
          <w:tcPr>
            <w:tcW w:w="1165" w:type="dxa"/>
          </w:tcPr>
          <w:p w:rsidR="0066272C" w:rsidRDefault="0066272C" w:rsidP="00E00E37">
            <w:r>
              <w:t>0</w:t>
            </w:r>
          </w:p>
        </w:tc>
      </w:tr>
      <w:tr w:rsidR="0066272C" w:rsidTr="0066272C">
        <w:tc>
          <w:tcPr>
            <w:tcW w:w="1889" w:type="dxa"/>
          </w:tcPr>
          <w:p w:rsidR="0066272C" w:rsidRDefault="0066272C" w:rsidP="00E00E37">
            <w:pPr>
              <w:rPr>
                <w:i/>
              </w:rPr>
            </w:pPr>
            <w:proofErr w:type="spellStart"/>
            <w:r>
              <w:rPr>
                <w:i/>
              </w:rPr>
              <w:t>rhomin</w:t>
            </w:r>
            <w:proofErr w:type="spellEnd"/>
          </w:p>
        </w:tc>
        <w:tc>
          <w:tcPr>
            <w:tcW w:w="6296" w:type="dxa"/>
          </w:tcPr>
          <w:p w:rsidR="0066272C" w:rsidRDefault="0066272C" w:rsidP="00E00E37">
            <w:r>
              <w:t>The minimum value of the apparent density allowed</w:t>
            </w:r>
          </w:p>
        </w:tc>
        <w:tc>
          <w:tcPr>
            <w:tcW w:w="1165" w:type="dxa"/>
          </w:tcPr>
          <w:p w:rsidR="0066272C" w:rsidRDefault="0066272C" w:rsidP="00E00E37">
            <w:r>
              <w:t>0</w:t>
            </w:r>
          </w:p>
        </w:tc>
      </w:tr>
      <w:tr w:rsidR="0066272C" w:rsidTr="0066272C">
        <w:tc>
          <w:tcPr>
            <w:tcW w:w="1889" w:type="dxa"/>
          </w:tcPr>
          <w:p w:rsidR="0066272C" w:rsidRDefault="0066272C" w:rsidP="00E00E37">
            <w:pPr>
              <w:rPr>
                <w:i/>
              </w:rPr>
            </w:pPr>
            <w:proofErr w:type="spellStart"/>
            <w:r>
              <w:rPr>
                <w:i/>
              </w:rPr>
              <w:t>rhomax</w:t>
            </w:r>
            <w:proofErr w:type="spellEnd"/>
          </w:p>
        </w:tc>
        <w:tc>
          <w:tcPr>
            <w:tcW w:w="6296" w:type="dxa"/>
          </w:tcPr>
          <w:p w:rsidR="0066272C" w:rsidRDefault="0066272C" w:rsidP="00E00E37">
            <w:r>
              <w:t>The maximum value of the apparent density allowed</w:t>
            </w:r>
          </w:p>
        </w:tc>
        <w:tc>
          <w:tcPr>
            <w:tcW w:w="1165" w:type="dxa"/>
          </w:tcPr>
          <w:p w:rsidR="0066272C" w:rsidRDefault="0066272C" w:rsidP="0066272C">
            <w:r>
              <w:t>(ignored)</w:t>
            </w:r>
          </w:p>
        </w:tc>
      </w:tr>
      <w:tr w:rsidR="0066272C" w:rsidTr="0066272C">
        <w:tc>
          <w:tcPr>
            <w:tcW w:w="1889" w:type="dxa"/>
          </w:tcPr>
          <w:p w:rsidR="0066272C" w:rsidRDefault="0066272C" w:rsidP="00E00E37">
            <w:pPr>
              <w:rPr>
                <w:i/>
              </w:rPr>
            </w:pPr>
            <w:proofErr w:type="spellStart"/>
            <w:r>
              <w:rPr>
                <w:i/>
              </w:rPr>
              <w:t>molar_mass</w:t>
            </w:r>
            <w:proofErr w:type="spellEnd"/>
          </w:p>
        </w:tc>
        <w:tc>
          <w:tcPr>
            <w:tcW w:w="6296" w:type="dxa"/>
          </w:tcPr>
          <w:p w:rsidR="0066272C" w:rsidRDefault="0066272C" w:rsidP="00E00E37">
            <w:r>
              <w:t>The molar mass of the solid-bound species.</w:t>
            </w:r>
          </w:p>
        </w:tc>
        <w:tc>
          <w:tcPr>
            <w:tcW w:w="1165" w:type="dxa"/>
          </w:tcPr>
          <w:p w:rsidR="0066272C" w:rsidRDefault="0066272C" w:rsidP="00E00E37">
            <w:r>
              <w:t>0</w:t>
            </w:r>
          </w:p>
        </w:tc>
      </w:tr>
    </w:tbl>
    <w:p w:rsidR="00E00E37" w:rsidRDefault="00E00E37" w:rsidP="00E00E37"/>
    <w:p w:rsidR="00E00E37" w:rsidRDefault="0066272C" w:rsidP="0066272C">
      <w:pPr>
        <w:pStyle w:val="Heading3"/>
      </w:pPr>
      <w:proofErr w:type="gramStart"/>
      <w:r>
        <w:t>reaction</w:t>
      </w:r>
      <w:proofErr w:type="gramEnd"/>
      <w:r>
        <w:t xml:space="preserve"> property</w:t>
      </w:r>
    </w:p>
    <w:p w:rsidR="0066272C" w:rsidRDefault="0066272C" w:rsidP="0066272C">
      <w:r>
        <w:t xml:space="preserve">The reaction property allows you to define a chemical reaction. Note that currently </w:t>
      </w:r>
      <w:proofErr w:type="spellStart"/>
      <w:r>
        <w:t>FEBioChem</w:t>
      </w:r>
      <w:proofErr w:type="spellEnd"/>
      <w:r>
        <w:t xml:space="preserve"> only models forward reactions. To model a reversible reaction you must specify two reactions, where the first reaction defines the forward reaction and the second defines the reverse reaction. Defining a reaction in the </w:t>
      </w:r>
      <w:proofErr w:type="spellStart"/>
      <w:r>
        <w:t>FEBioChem</w:t>
      </w:r>
      <w:proofErr w:type="spellEnd"/>
      <w:r>
        <w:t xml:space="preserve"> plugin is very easy since only two parameters need to be specified. </w:t>
      </w:r>
    </w:p>
    <w:tbl>
      <w:tblPr>
        <w:tblStyle w:val="TableGrid"/>
        <w:tblW w:w="0" w:type="auto"/>
        <w:tblLook w:val="04A0" w:firstRow="1" w:lastRow="0" w:firstColumn="1" w:lastColumn="0" w:noHBand="0" w:noVBand="1"/>
      </w:tblPr>
      <w:tblGrid>
        <w:gridCol w:w="2965"/>
        <w:gridCol w:w="6385"/>
      </w:tblGrid>
      <w:tr w:rsidR="0066272C" w:rsidTr="0066272C">
        <w:tc>
          <w:tcPr>
            <w:tcW w:w="2965" w:type="dxa"/>
          </w:tcPr>
          <w:p w:rsidR="0066272C" w:rsidRPr="0066272C" w:rsidRDefault="0066272C" w:rsidP="0066272C">
            <w:pPr>
              <w:rPr>
                <w:b/>
              </w:rPr>
            </w:pPr>
            <w:r w:rsidRPr="0066272C">
              <w:rPr>
                <w:b/>
              </w:rPr>
              <w:t>Property</w:t>
            </w:r>
          </w:p>
        </w:tc>
        <w:tc>
          <w:tcPr>
            <w:tcW w:w="6385" w:type="dxa"/>
          </w:tcPr>
          <w:p w:rsidR="0066272C" w:rsidRPr="0066272C" w:rsidRDefault="0066272C" w:rsidP="0066272C">
            <w:pPr>
              <w:rPr>
                <w:b/>
              </w:rPr>
            </w:pPr>
            <w:r w:rsidRPr="0066272C">
              <w:rPr>
                <w:b/>
              </w:rPr>
              <w:t>Description</w:t>
            </w:r>
          </w:p>
        </w:tc>
      </w:tr>
      <w:tr w:rsidR="0066272C" w:rsidTr="0066272C">
        <w:tc>
          <w:tcPr>
            <w:tcW w:w="2965" w:type="dxa"/>
          </w:tcPr>
          <w:p w:rsidR="0066272C" w:rsidRPr="0066272C" w:rsidRDefault="0066272C" w:rsidP="0066272C">
            <w:pPr>
              <w:rPr>
                <w:i/>
              </w:rPr>
            </w:pPr>
            <w:r w:rsidRPr="0066272C">
              <w:rPr>
                <w:i/>
              </w:rPr>
              <w:t>equation</w:t>
            </w:r>
          </w:p>
        </w:tc>
        <w:tc>
          <w:tcPr>
            <w:tcW w:w="6385" w:type="dxa"/>
          </w:tcPr>
          <w:p w:rsidR="0066272C" w:rsidRDefault="0066272C" w:rsidP="0066272C">
            <w:r>
              <w:t>Specify the reaction equation</w:t>
            </w:r>
          </w:p>
        </w:tc>
      </w:tr>
      <w:tr w:rsidR="0066272C" w:rsidTr="0066272C">
        <w:tc>
          <w:tcPr>
            <w:tcW w:w="2965" w:type="dxa"/>
          </w:tcPr>
          <w:p w:rsidR="0066272C" w:rsidRPr="0066272C" w:rsidRDefault="0066272C" w:rsidP="0066272C">
            <w:pPr>
              <w:rPr>
                <w:i/>
              </w:rPr>
            </w:pPr>
            <w:proofErr w:type="spellStart"/>
            <w:r>
              <w:rPr>
                <w:i/>
              </w:rPr>
              <w:t>rate_constant</w:t>
            </w:r>
            <w:proofErr w:type="spellEnd"/>
          </w:p>
        </w:tc>
        <w:tc>
          <w:tcPr>
            <w:tcW w:w="6385" w:type="dxa"/>
          </w:tcPr>
          <w:p w:rsidR="0066272C" w:rsidRDefault="0066272C" w:rsidP="0066272C">
            <w:r>
              <w:t>The rate constant of the reaction rate.</w:t>
            </w:r>
          </w:p>
        </w:tc>
      </w:tr>
    </w:tbl>
    <w:p w:rsidR="0066272C" w:rsidRDefault="0066272C" w:rsidP="0066272C"/>
    <w:p w:rsidR="0066272C" w:rsidRDefault="0066272C" w:rsidP="0066272C">
      <w:r>
        <w:t>The reaction equation is defined by writing the reaction formula as follows.</w:t>
      </w:r>
    </w:p>
    <w:p w:rsidR="0066272C" w:rsidRDefault="0066272C" w:rsidP="0066272C">
      <w:pPr>
        <w:pStyle w:val="ListParagraph"/>
        <w:numPr>
          <w:ilvl w:val="0"/>
          <w:numId w:val="3"/>
        </w:numPr>
      </w:pPr>
      <w:r>
        <w:t xml:space="preserve">Use the name of the species as defined in the </w:t>
      </w:r>
      <w:proofErr w:type="spellStart"/>
      <w:r>
        <w:t>Globals</w:t>
      </w:r>
      <w:proofErr w:type="spellEnd"/>
      <w:r>
        <w:t xml:space="preserve"> section to reference it.</w:t>
      </w:r>
    </w:p>
    <w:p w:rsidR="0066272C" w:rsidRDefault="0066272C" w:rsidP="0066272C">
      <w:pPr>
        <w:pStyle w:val="ListParagraph"/>
        <w:numPr>
          <w:ilvl w:val="0"/>
          <w:numId w:val="3"/>
        </w:numPr>
      </w:pPr>
      <w:r>
        <w:t>A stoichiometric coefficient of 1 does not need to be defined, but otherwise it</w:t>
      </w:r>
      <w:r w:rsidR="00DF0231">
        <w:t xml:space="preserve"> must an integer number that appears before the species’ name and separated from it via a multiplication symbol ‘*’. </w:t>
      </w:r>
    </w:p>
    <w:p w:rsidR="00DF0231" w:rsidRDefault="00DF0231" w:rsidP="0066272C">
      <w:pPr>
        <w:pStyle w:val="ListParagraph"/>
        <w:numPr>
          <w:ilvl w:val="0"/>
          <w:numId w:val="3"/>
        </w:numPr>
      </w:pPr>
      <w:r>
        <w:t>A plus symbol ‘+’ is used to enumerate all reactants and products.</w:t>
      </w:r>
    </w:p>
    <w:p w:rsidR="00DF0231" w:rsidRDefault="00DF0231" w:rsidP="0066272C">
      <w:pPr>
        <w:pStyle w:val="ListParagraph"/>
        <w:numPr>
          <w:ilvl w:val="0"/>
          <w:numId w:val="3"/>
        </w:numPr>
      </w:pPr>
      <w:r>
        <w:t xml:space="preserve">The symbols ‘--&gt;’ or ‘-&gt;’ can be used to separate the reactants from the products. </w:t>
      </w:r>
    </w:p>
    <w:p w:rsidR="00DF0231" w:rsidRDefault="00DF0231" w:rsidP="0066272C">
      <w:pPr>
        <w:pStyle w:val="ListParagraph"/>
        <w:numPr>
          <w:ilvl w:val="0"/>
          <w:numId w:val="3"/>
        </w:numPr>
      </w:pPr>
      <w:r>
        <w:t xml:space="preserve">The reactant or product lists can be empty. </w:t>
      </w:r>
    </w:p>
    <w:p w:rsidR="00DF0231" w:rsidRDefault="00DF0231" w:rsidP="00DF0231">
      <w:r>
        <w:t xml:space="preserve">Here are some examples. Assume that all the chemical species are properly defined in the </w:t>
      </w:r>
      <w:proofErr w:type="spellStart"/>
      <w:r>
        <w:t>Globals</w:t>
      </w:r>
      <w:proofErr w:type="spellEnd"/>
      <w:r>
        <w:t xml:space="preserve"> section. </w:t>
      </w:r>
    </w:p>
    <w:p w:rsidR="00DF0231" w:rsidRDefault="00DF0231" w:rsidP="00DF0231">
      <w:pPr>
        <w:pStyle w:val="Code"/>
      </w:pPr>
      <w:r>
        <w:t>A--&gt;B</w:t>
      </w:r>
    </w:p>
    <w:p w:rsidR="00DF0231" w:rsidRDefault="00DF0231" w:rsidP="00DF0231">
      <w:pPr>
        <w:pStyle w:val="Code"/>
      </w:pPr>
      <w:r>
        <w:t>A+B--&gt;C</w:t>
      </w:r>
    </w:p>
    <w:p w:rsidR="00DF0231" w:rsidRDefault="00DF0231" w:rsidP="00DF0231">
      <w:pPr>
        <w:pStyle w:val="Code"/>
      </w:pPr>
      <w:r>
        <w:t>2*A+2*B-&gt;C+B</w:t>
      </w:r>
    </w:p>
    <w:p w:rsidR="00DF0231" w:rsidRDefault="00DF0231" w:rsidP="00DF0231">
      <w:pPr>
        <w:pStyle w:val="Code"/>
      </w:pPr>
      <w:r>
        <w:t>A--&gt;</w:t>
      </w:r>
    </w:p>
    <w:p w:rsidR="00DF0231" w:rsidRDefault="00DF0231" w:rsidP="00DF0231">
      <w:pPr>
        <w:pStyle w:val="Code"/>
      </w:pPr>
      <w:r>
        <w:t>--&gt;B</w:t>
      </w:r>
    </w:p>
    <w:p w:rsidR="00DF0231" w:rsidRDefault="00DF0231" w:rsidP="00DF0231"/>
    <w:p w:rsidR="00DF0231" w:rsidRDefault="00DF0231" w:rsidP="00DF0231">
      <w:r>
        <w:t xml:space="preserve">Again, it is emphasized that all species involved in a reaction must be defined inside the material’s definition. </w:t>
      </w:r>
    </w:p>
    <w:p w:rsidR="00DF0231" w:rsidRDefault="00DF0231" w:rsidP="00DF0231">
      <w:pPr>
        <w:pStyle w:val="Heading2"/>
      </w:pPr>
      <w:r>
        <w:t>Initial Values</w:t>
      </w:r>
    </w:p>
    <w:p w:rsidR="00DF0231" w:rsidRDefault="00DF0231" w:rsidP="00DF0231">
      <w:r>
        <w:t xml:space="preserve">For each species (but not solid-bound species), an initial value can be set in the </w:t>
      </w:r>
      <w:r>
        <w:rPr>
          <w:i/>
        </w:rPr>
        <w:t xml:space="preserve">Initial </w:t>
      </w:r>
      <w:r>
        <w:t xml:space="preserve">section of the FEBio input file via the </w:t>
      </w:r>
      <w:proofErr w:type="spellStart"/>
      <w:r>
        <w:rPr>
          <w:i/>
        </w:rPr>
        <w:t>init</w:t>
      </w:r>
      <w:proofErr w:type="spellEnd"/>
      <w:r>
        <w:rPr>
          <w:i/>
        </w:rPr>
        <w:t xml:space="preserve"> </w:t>
      </w:r>
      <w:r>
        <w:t>tag.</w:t>
      </w:r>
    </w:p>
    <w:p w:rsidR="00DF0231" w:rsidRDefault="00DF0231" w:rsidP="00DF0231">
      <w:pPr>
        <w:pStyle w:val="Code"/>
      </w:pPr>
      <w:r>
        <w:t>&lt;</w:t>
      </w:r>
      <w:proofErr w:type="spellStart"/>
      <w:r>
        <w:t>init</w:t>
      </w:r>
      <w:proofErr w:type="spellEnd"/>
      <w:r>
        <w:t xml:space="preserve"> </w:t>
      </w:r>
      <w:proofErr w:type="spellStart"/>
      <w:proofErr w:type="gramStart"/>
      <w:r>
        <w:t>bc</w:t>
      </w:r>
      <w:proofErr w:type="spellEnd"/>
      <w:proofErr w:type="gramEnd"/>
      <w:r>
        <w:t xml:space="preserve">="c1" </w:t>
      </w:r>
      <w:proofErr w:type="spellStart"/>
      <w:r>
        <w:t>node_set</w:t>
      </w:r>
      <w:proofErr w:type="spellEnd"/>
      <w:r>
        <w:t>="set1"&gt;</w:t>
      </w:r>
    </w:p>
    <w:p w:rsidR="00DF0231" w:rsidRDefault="00DF0231" w:rsidP="00DF0231">
      <w:pPr>
        <w:pStyle w:val="Code"/>
      </w:pPr>
      <w:r>
        <w:tab/>
        <w:t>&lt;</w:t>
      </w:r>
      <w:proofErr w:type="gramStart"/>
      <w:r>
        <w:t>value&gt;</w:t>
      </w:r>
      <w:proofErr w:type="gramEnd"/>
      <w:r>
        <w:t>1.0&lt;/value&gt;</w:t>
      </w:r>
    </w:p>
    <w:p w:rsidR="00DF0231" w:rsidRDefault="00DF0231" w:rsidP="00DF0231">
      <w:pPr>
        <w:pStyle w:val="Code"/>
      </w:pPr>
      <w:r>
        <w:t>&lt;/</w:t>
      </w:r>
      <w:proofErr w:type="spellStart"/>
      <w:r>
        <w:t>init</w:t>
      </w:r>
      <w:proofErr w:type="spellEnd"/>
      <w:r>
        <w:t>&gt;</w:t>
      </w:r>
    </w:p>
    <w:p w:rsidR="00DF0231" w:rsidRDefault="00DF0231" w:rsidP="00DF0231"/>
    <w:p w:rsidR="00DF0231" w:rsidRDefault="00DF0231" w:rsidP="00DF0231">
      <w:pPr>
        <w:jc w:val="both"/>
      </w:pPr>
      <w:r>
        <w:lastRenderedPageBreak/>
        <w:t xml:space="preserve">The </w:t>
      </w:r>
      <w:proofErr w:type="spellStart"/>
      <w:proofErr w:type="gramStart"/>
      <w:r>
        <w:rPr>
          <w:i/>
        </w:rPr>
        <w:t>bc</w:t>
      </w:r>
      <w:proofErr w:type="spellEnd"/>
      <w:proofErr w:type="gramEnd"/>
      <w:r>
        <w:rPr>
          <w:i/>
        </w:rPr>
        <w:t xml:space="preserve"> </w:t>
      </w:r>
      <w:r>
        <w:t xml:space="preserve">attribute references the particular species (or solute). In this case, </w:t>
      </w:r>
      <w:r>
        <w:rPr>
          <w:i/>
        </w:rPr>
        <w:t xml:space="preserve">c1 </w:t>
      </w:r>
      <w:r>
        <w:t xml:space="preserve">references the solute with ID equal to 1. The </w:t>
      </w:r>
      <w:proofErr w:type="spellStart"/>
      <w:r>
        <w:rPr>
          <w:i/>
        </w:rPr>
        <w:t>node_set</w:t>
      </w:r>
      <w:proofErr w:type="spellEnd"/>
      <w:r>
        <w:rPr>
          <w:i/>
        </w:rPr>
        <w:t xml:space="preserve"> </w:t>
      </w:r>
      <w:r>
        <w:t xml:space="preserve">references a node set that needs to be defined in the Geometry section of the input file. </w:t>
      </w:r>
    </w:p>
    <w:p w:rsidR="00DF0231" w:rsidRDefault="00DF0231" w:rsidP="00DF0231">
      <w:pPr>
        <w:pStyle w:val="Heading2"/>
      </w:pPr>
      <w:r>
        <w:t>Boundary Conditions</w:t>
      </w:r>
    </w:p>
    <w:p w:rsidR="00DF0231" w:rsidRDefault="00DF0231" w:rsidP="00DF0231">
      <w:r>
        <w:t xml:space="preserve">The syntax for defining fixed or prescribed </w:t>
      </w:r>
      <w:r w:rsidR="00D256AE">
        <w:t xml:space="preserve">is identical for any FEBio model. Use </w:t>
      </w:r>
      <w:r w:rsidR="00D256AE">
        <w:rPr>
          <w:i/>
        </w:rPr>
        <w:t>c[n]</w:t>
      </w:r>
      <w:r w:rsidR="00D256AE">
        <w:t xml:space="preserve"> to reference a particular species (or solute, again no solid-bound species). Thus, for example, </w:t>
      </w:r>
      <w:r w:rsidR="00D256AE">
        <w:rPr>
          <w:i/>
        </w:rPr>
        <w:t xml:space="preserve">c1 </w:t>
      </w:r>
      <w:r w:rsidR="00D256AE">
        <w:t xml:space="preserve">references to solute with ID one, </w:t>
      </w:r>
      <w:r w:rsidR="00D256AE">
        <w:rPr>
          <w:i/>
        </w:rPr>
        <w:t xml:space="preserve">c2 </w:t>
      </w:r>
      <w:r w:rsidR="00D256AE">
        <w:t xml:space="preserve">to solute with ID 2, and so forth. </w:t>
      </w:r>
    </w:p>
    <w:p w:rsidR="00D256AE" w:rsidRDefault="00D256AE" w:rsidP="00DF0231">
      <w:r>
        <w:t>An example of a fixed boundary condition looks like this.</w:t>
      </w:r>
    </w:p>
    <w:p w:rsidR="00D256AE" w:rsidRDefault="00D256AE" w:rsidP="00D256AE">
      <w:pPr>
        <w:pStyle w:val="Code"/>
      </w:pPr>
      <w:r>
        <w:t xml:space="preserve">&lt;fix </w:t>
      </w:r>
      <w:proofErr w:type="spellStart"/>
      <w:proofErr w:type="gramStart"/>
      <w:r>
        <w:t>bc</w:t>
      </w:r>
      <w:proofErr w:type="spellEnd"/>
      <w:proofErr w:type="gramEnd"/>
      <w:r>
        <w:t xml:space="preserve">="c1" </w:t>
      </w:r>
      <w:proofErr w:type="spellStart"/>
      <w:r>
        <w:t>node_set</w:t>
      </w:r>
      <w:proofErr w:type="spellEnd"/>
      <w:r>
        <w:t>="FixedSet1"/&gt;</w:t>
      </w:r>
    </w:p>
    <w:p w:rsidR="00D256AE" w:rsidRDefault="00D256AE" w:rsidP="00DF0231"/>
    <w:p w:rsidR="00D256AE" w:rsidRDefault="00D256AE" w:rsidP="00DF0231">
      <w:r>
        <w:t>An example of a prescribed boundary condition looks like this.</w:t>
      </w:r>
    </w:p>
    <w:p w:rsidR="00D256AE" w:rsidRDefault="00D256AE" w:rsidP="00D256AE">
      <w:pPr>
        <w:pStyle w:val="Code"/>
      </w:pPr>
      <w:r>
        <w:t xml:space="preserve">&lt;prescribe </w:t>
      </w:r>
      <w:proofErr w:type="spellStart"/>
      <w:proofErr w:type="gramStart"/>
      <w:r>
        <w:t>bc</w:t>
      </w:r>
      <w:proofErr w:type="spellEnd"/>
      <w:proofErr w:type="gramEnd"/>
      <w:r>
        <w:t xml:space="preserve">="c1" </w:t>
      </w:r>
      <w:proofErr w:type="spellStart"/>
      <w:r>
        <w:t>node_set</w:t>
      </w:r>
      <w:proofErr w:type="spellEnd"/>
      <w:r>
        <w:t>="PrescribedSet1"&gt;</w:t>
      </w:r>
    </w:p>
    <w:p w:rsidR="00D256AE" w:rsidRDefault="00D256AE" w:rsidP="00D256AE">
      <w:pPr>
        <w:pStyle w:val="Code"/>
      </w:pPr>
      <w:r>
        <w:tab/>
        <w:t xml:space="preserve">&lt;scale </w:t>
      </w:r>
      <w:proofErr w:type="spellStart"/>
      <w:r>
        <w:t>lc</w:t>
      </w:r>
      <w:proofErr w:type="spellEnd"/>
      <w:r>
        <w:t>="1"&gt;1.0&lt;/scale&gt;</w:t>
      </w:r>
    </w:p>
    <w:p w:rsidR="00D256AE" w:rsidRDefault="00D256AE" w:rsidP="00D256AE">
      <w:pPr>
        <w:pStyle w:val="Code"/>
      </w:pPr>
      <w:r>
        <w:t>&lt;/prescribe&gt;</w:t>
      </w:r>
    </w:p>
    <w:p w:rsidR="00D256AE" w:rsidRDefault="00D256AE" w:rsidP="00DF0231"/>
    <w:p w:rsidR="00D256AE" w:rsidRDefault="00D256AE" w:rsidP="00DF0231">
      <w:r>
        <w:t xml:space="preserve">The </w:t>
      </w:r>
      <w:proofErr w:type="spellStart"/>
      <w:r>
        <w:rPr>
          <w:i/>
        </w:rPr>
        <w:t>node_set</w:t>
      </w:r>
      <w:proofErr w:type="spellEnd"/>
      <w:r>
        <w:rPr>
          <w:i/>
        </w:rPr>
        <w:t xml:space="preserve"> </w:t>
      </w:r>
      <w:r>
        <w:t xml:space="preserve">attributes references </w:t>
      </w:r>
      <w:proofErr w:type="spellStart"/>
      <w:r>
        <w:t>nodesets</w:t>
      </w:r>
      <w:proofErr w:type="spellEnd"/>
      <w:r>
        <w:t xml:space="preserve"> that need to be defined in the Geometry section of the input file. </w:t>
      </w:r>
    </w:p>
    <w:p w:rsidR="00FB3DB2" w:rsidRDefault="00FB3DB2" w:rsidP="00FB3DB2">
      <w:pPr>
        <w:pStyle w:val="Heading2"/>
      </w:pPr>
      <w:r>
        <w:t>Prescribing a concentration flux</w:t>
      </w:r>
    </w:p>
    <w:p w:rsidR="00FB3DB2" w:rsidRDefault="00FB3DB2" w:rsidP="00FB3DB2">
      <w:r>
        <w:t xml:space="preserve">A concentration flux can be prescribed via a surface load of type </w:t>
      </w:r>
      <w:r>
        <w:rPr>
          <w:i/>
        </w:rPr>
        <w:t xml:space="preserve">concentration flux </w:t>
      </w:r>
      <w:r>
        <w:t xml:space="preserve">and is defined as follows. </w:t>
      </w:r>
    </w:p>
    <w:p w:rsidR="00FB3DB2" w:rsidRDefault="00FB3DB2" w:rsidP="00FB3DB2">
      <w:pPr>
        <w:pStyle w:val="Code"/>
      </w:pPr>
      <w:r>
        <w:t>&lt;</w:t>
      </w:r>
      <w:proofErr w:type="spellStart"/>
      <w:r>
        <w:t>surface_load</w:t>
      </w:r>
      <w:proofErr w:type="spellEnd"/>
      <w:r>
        <w:t xml:space="preserve"> type="concentration flux" surface="SurfaceLoad1"&gt;</w:t>
      </w:r>
    </w:p>
    <w:p w:rsidR="00FB3DB2" w:rsidRDefault="00FB3DB2" w:rsidP="00FB3DB2">
      <w:pPr>
        <w:pStyle w:val="Code"/>
      </w:pPr>
      <w:r>
        <w:tab/>
        <w:t>&lt;</w:t>
      </w:r>
      <w:proofErr w:type="spellStart"/>
      <w:r>
        <w:t>solute_id</w:t>
      </w:r>
      <w:proofErr w:type="spellEnd"/>
      <w:r>
        <w:t>&gt;1&lt;/</w:t>
      </w:r>
      <w:proofErr w:type="spellStart"/>
      <w:r>
        <w:t>solute_id</w:t>
      </w:r>
      <w:proofErr w:type="spellEnd"/>
      <w:r>
        <w:t>&gt;</w:t>
      </w:r>
    </w:p>
    <w:p w:rsidR="00FB3DB2" w:rsidRDefault="00FB3DB2" w:rsidP="00FB3DB2">
      <w:pPr>
        <w:pStyle w:val="Code"/>
      </w:pPr>
      <w:r>
        <w:tab/>
        <w:t xml:space="preserve">&lt;flux </w:t>
      </w:r>
      <w:proofErr w:type="spellStart"/>
      <w:r>
        <w:t>lc</w:t>
      </w:r>
      <w:proofErr w:type="spellEnd"/>
      <w:r>
        <w:t>="1"&gt;-1.0&lt;/flux&gt;</w:t>
      </w:r>
    </w:p>
    <w:p w:rsidR="00FB3DB2" w:rsidRDefault="00FB3DB2" w:rsidP="00FB3DB2">
      <w:pPr>
        <w:pStyle w:val="Code"/>
      </w:pPr>
      <w:r>
        <w:t>&lt;/</w:t>
      </w:r>
      <w:proofErr w:type="spellStart"/>
      <w:r>
        <w:t>surface_load</w:t>
      </w:r>
      <w:proofErr w:type="spellEnd"/>
      <w:r>
        <w:t>&gt;</w:t>
      </w:r>
    </w:p>
    <w:p w:rsidR="00FB3DB2" w:rsidRDefault="00FB3DB2" w:rsidP="00FB3DB2"/>
    <w:p w:rsidR="00FB3DB2" w:rsidRDefault="00FB3DB2" w:rsidP="00FB3DB2">
      <w:r>
        <w:t xml:space="preserve">The </w:t>
      </w:r>
      <w:r>
        <w:rPr>
          <w:i/>
        </w:rPr>
        <w:t xml:space="preserve">surface </w:t>
      </w:r>
      <w:r>
        <w:t xml:space="preserve">attribute references a surface that is defined in the Geometry section. The </w:t>
      </w:r>
      <w:proofErr w:type="spellStart"/>
      <w:r>
        <w:rPr>
          <w:i/>
        </w:rPr>
        <w:t>solute_id</w:t>
      </w:r>
      <w:proofErr w:type="spellEnd"/>
      <w:r>
        <w:rPr>
          <w:i/>
        </w:rPr>
        <w:t xml:space="preserve"> </w:t>
      </w:r>
      <w:r>
        <w:t xml:space="preserve">references the ID of the corresponding solute as defined in the </w:t>
      </w:r>
      <w:proofErr w:type="spellStart"/>
      <w:r>
        <w:t>Globals</w:t>
      </w:r>
      <w:proofErr w:type="spellEnd"/>
      <w:r>
        <w:t xml:space="preserve"> section of the input file. </w:t>
      </w:r>
    </w:p>
    <w:p w:rsidR="00FB3DB2" w:rsidRDefault="00FB3DB2" w:rsidP="00FB3DB2">
      <w:pPr>
        <w:pStyle w:val="Heading2"/>
      </w:pPr>
      <w:r>
        <w:t>Plot Variables</w:t>
      </w:r>
    </w:p>
    <w:p w:rsidR="00FB3DB2" w:rsidRDefault="00FB3DB2" w:rsidP="00FB3DB2">
      <w:r>
        <w:t xml:space="preserve">The </w:t>
      </w:r>
      <w:proofErr w:type="spellStart"/>
      <w:r>
        <w:t>FEBioChem</w:t>
      </w:r>
      <w:proofErr w:type="spellEnd"/>
      <w:r>
        <w:t xml:space="preserve"> plugin defines several new plot variables. They are:</w:t>
      </w:r>
    </w:p>
    <w:tbl>
      <w:tblPr>
        <w:tblStyle w:val="TableGrid"/>
        <w:tblW w:w="0" w:type="auto"/>
        <w:tblLook w:val="04A0" w:firstRow="1" w:lastRow="0" w:firstColumn="1" w:lastColumn="0" w:noHBand="0" w:noVBand="1"/>
      </w:tblPr>
      <w:tblGrid>
        <w:gridCol w:w="3775"/>
        <w:gridCol w:w="5575"/>
      </w:tblGrid>
      <w:tr w:rsidR="00FB3DB2" w:rsidTr="00D04BD6">
        <w:tc>
          <w:tcPr>
            <w:tcW w:w="3775" w:type="dxa"/>
          </w:tcPr>
          <w:p w:rsidR="00FB3DB2" w:rsidRPr="00FB3DB2" w:rsidRDefault="00FB3DB2" w:rsidP="00FB3DB2">
            <w:pPr>
              <w:rPr>
                <w:b/>
              </w:rPr>
            </w:pPr>
            <w:r w:rsidRPr="00FB3DB2">
              <w:rPr>
                <w:b/>
              </w:rPr>
              <w:t>Plot variable</w:t>
            </w:r>
          </w:p>
        </w:tc>
        <w:tc>
          <w:tcPr>
            <w:tcW w:w="5575" w:type="dxa"/>
          </w:tcPr>
          <w:p w:rsidR="00FB3DB2" w:rsidRPr="00FB3DB2" w:rsidRDefault="00FB3DB2" w:rsidP="00FB3DB2">
            <w:pPr>
              <w:rPr>
                <w:b/>
              </w:rPr>
            </w:pPr>
            <w:r w:rsidRPr="00FB3DB2">
              <w:rPr>
                <w:b/>
              </w:rPr>
              <w:t>Description</w:t>
            </w:r>
          </w:p>
        </w:tc>
      </w:tr>
      <w:tr w:rsidR="00FB3DB2" w:rsidTr="00D04BD6">
        <w:tc>
          <w:tcPr>
            <w:tcW w:w="3775" w:type="dxa"/>
          </w:tcPr>
          <w:p w:rsidR="00FB3DB2" w:rsidRPr="00FB3DB2" w:rsidRDefault="00D04BD6" w:rsidP="00FB3DB2">
            <w:pPr>
              <w:rPr>
                <w:i/>
              </w:rPr>
            </w:pPr>
            <w:r>
              <w:rPr>
                <w:i/>
              </w:rPr>
              <w:t xml:space="preserve">concentration / </w:t>
            </w:r>
            <w:r w:rsidR="00FB3DB2" w:rsidRPr="00FB3DB2">
              <w:rPr>
                <w:i/>
              </w:rPr>
              <w:t>actual concentration</w:t>
            </w:r>
          </w:p>
        </w:tc>
        <w:tc>
          <w:tcPr>
            <w:tcW w:w="5575" w:type="dxa"/>
          </w:tcPr>
          <w:p w:rsidR="00FB3DB2" w:rsidRDefault="00FB3DB2" w:rsidP="00FB3DB2">
            <w:r>
              <w:t xml:space="preserve">Get the true concentration of </w:t>
            </w:r>
            <w:r w:rsidR="00D04BD6">
              <w:t>a species</w:t>
            </w:r>
          </w:p>
        </w:tc>
      </w:tr>
      <w:tr w:rsidR="00D04BD6" w:rsidTr="00D04BD6">
        <w:tc>
          <w:tcPr>
            <w:tcW w:w="3775" w:type="dxa"/>
          </w:tcPr>
          <w:p w:rsidR="00D04BD6" w:rsidRPr="00FB3DB2" w:rsidRDefault="00D04BD6" w:rsidP="00FB3DB2">
            <w:pPr>
              <w:rPr>
                <w:i/>
              </w:rPr>
            </w:pPr>
            <w:r>
              <w:rPr>
                <w:i/>
              </w:rPr>
              <w:t>effective concentration</w:t>
            </w:r>
          </w:p>
        </w:tc>
        <w:tc>
          <w:tcPr>
            <w:tcW w:w="5575" w:type="dxa"/>
          </w:tcPr>
          <w:p w:rsidR="00D04BD6" w:rsidRDefault="00D04BD6" w:rsidP="00FB3DB2">
            <w:r>
              <w:t>Get the effective concentration of a species</w:t>
            </w:r>
          </w:p>
        </w:tc>
      </w:tr>
      <w:tr w:rsidR="00D04BD6" w:rsidTr="00D04BD6">
        <w:tc>
          <w:tcPr>
            <w:tcW w:w="3775" w:type="dxa"/>
          </w:tcPr>
          <w:p w:rsidR="00D04BD6" w:rsidRDefault="00D04BD6" w:rsidP="00FB3DB2">
            <w:pPr>
              <w:rPr>
                <w:i/>
              </w:rPr>
            </w:pPr>
            <w:proofErr w:type="spellStart"/>
            <w:r>
              <w:rPr>
                <w:i/>
              </w:rPr>
              <w:t>sbs</w:t>
            </w:r>
            <w:proofErr w:type="spellEnd"/>
            <w:r>
              <w:rPr>
                <w:i/>
              </w:rPr>
              <w:t xml:space="preserve"> concentration</w:t>
            </w:r>
          </w:p>
        </w:tc>
        <w:tc>
          <w:tcPr>
            <w:tcW w:w="5575" w:type="dxa"/>
          </w:tcPr>
          <w:p w:rsidR="00D04BD6" w:rsidRDefault="00D04BD6" w:rsidP="00FB3DB2">
            <w:r>
              <w:t>The true concentration of a solid-bound species</w:t>
            </w:r>
          </w:p>
        </w:tc>
      </w:tr>
      <w:tr w:rsidR="00D04BD6" w:rsidTr="00D04BD6">
        <w:tc>
          <w:tcPr>
            <w:tcW w:w="3775" w:type="dxa"/>
          </w:tcPr>
          <w:p w:rsidR="00D04BD6" w:rsidRDefault="00D04BD6" w:rsidP="00FB3DB2">
            <w:pPr>
              <w:rPr>
                <w:i/>
              </w:rPr>
            </w:pPr>
            <w:proofErr w:type="spellStart"/>
            <w:r>
              <w:rPr>
                <w:i/>
              </w:rPr>
              <w:t>sbs</w:t>
            </w:r>
            <w:proofErr w:type="spellEnd"/>
            <w:r>
              <w:rPr>
                <w:i/>
              </w:rPr>
              <w:t xml:space="preserve"> apparent density</w:t>
            </w:r>
          </w:p>
        </w:tc>
        <w:tc>
          <w:tcPr>
            <w:tcW w:w="5575" w:type="dxa"/>
          </w:tcPr>
          <w:p w:rsidR="00D04BD6" w:rsidRDefault="00D04BD6" w:rsidP="00FB3DB2">
            <w:r>
              <w:t>The apparent density of a solid-bound species</w:t>
            </w:r>
          </w:p>
        </w:tc>
      </w:tr>
      <w:tr w:rsidR="00D04BD6" w:rsidTr="00D04BD6">
        <w:tc>
          <w:tcPr>
            <w:tcW w:w="3775" w:type="dxa"/>
          </w:tcPr>
          <w:p w:rsidR="00D04BD6" w:rsidRDefault="00D04BD6" w:rsidP="00FB3DB2">
            <w:pPr>
              <w:rPr>
                <w:i/>
              </w:rPr>
            </w:pPr>
            <w:r>
              <w:rPr>
                <w:i/>
              </w:rPr>
              <w:t>solid volume fraction</w:t>
            </w:r>
          </w:p>
        </w:tc>
        <w:tc>
          <w:tcPr>
            <w:tcW w:w="5575" w:type="dxa"/>
          </w:tcPr>
          <w:p w:rsidR="00D04BD6" w:rsidRDefault="00D04BD6" w:rsidP="00FB3DB2">
            <w:r>
              <w:t>The solid volume fraction of the mixture</w:t>
            </w:r>
          </w:p>
        </w:tc>
      </w:tr>
    </w:tbl>
    <w:p w:rsidR="00FB3DB2" w:rsidRDefault="00FB3DB2" w:rsidP="00FB3DB2"/>
    <w:p w:rsidR="00D04BD6" w:rsidRDefault="00D04BD6" w:rsidP="00FB3DB2">
      <w:r>
        <w:t>Note that the variables that references a species or a solid-bound species need to specify the name of the corresponding species as part of the plot variable definition. For instance,</w:t>
      </w:r>
    </w:p>
    <w:p w:rsidR="00D04BD6" w:rsidRDefault="00D04BD6" w:rsidP="00D04BD6">
      <w:pPr>
        <w:pStyle w:val="Code"/>
      </w:pPr>
      <w:r>
        <w:t>&lt;</w:t>
      </w:r>
      <w:proofErr w:type="spellStart"/>
      <w:r>
        <w:t>var</w:t>
      </w:r>
      <w:proofErr w:type="spellEnd"/>
      <w:r>
        <w:t xml:space="preserve"> type="</w:t>
      </w:r>
      <w:proofErr w:type="gramStart"/>
      <w:r>
        <w:t>concentration[</w:t>
      </w:r>
      <w:proofErr w:type="gramEnd"/>
      <w:r>
        <w:t>'c1']"/&gt;</w:t>
      </w:r>
    </w:p>
    <w:p w:rsidR="00D04BD6" w:rsidRDefault="00D04BD6" w:rsidP="00FB3DB2"/>
    <w:p w:rsidR="00D04BD6" w:rsidRDefault="00D04BD6" w:rsidP="00FB3DB2">
      <w:r>
        <w:lastRenderedPageBreak/>
        <w:t>As with any other plot variable definition in FEBio, you can define an alias.</w:t>
      </w:r>
    </w:p>
    <w:p w:rsidR="00D04BD6" w:rsidRDefault="00D04BD6" w:rsidP="00D04BD6">
      <w:pPr>
        <w:pStyle w:val="Code"/>
      </w:pPr>
      <w:r>
        <w:t>&lt;</w:t>
      </w:r>
      <w:proofErr w:type="spellStart"/>
      <w:r>
        <w:t>var</w:t>
      </w:r>
      <w:proofErr w:type="spellEnd"/>
      <w:r>
        <w:t xml:space="preserve"> type="</w:t>
      </w:r>
      <w:proofErr w:type="gramStart"/>
      <w:r>
        <w:t>concentration[</w:t>
      </w:r>
      <w:proofErr w:type="gramEnd"/>
      <w:r>
        <w:t>'c1']=c1/&gt;</w:t>
      </w:r>
    </w:p>
    <w:p w:rsidR="00D04BD6" w:rsidRDefault="00D04BD6" w:rsidP="00FB3DB2"/>
    <w:p w:rsidR="00D04BD6" w:rsidRPr="00FB3DB2" w:rsidRDefault="00D04BD6" w:rsidP="00FB3DB2">
      <w:r>
        <w:t xml:space="preserve">The alias is the name of the data field that will be stored in the plot file, and thus will show in PostView. </w:t>
      </w:r>
      <w:bookmarkStart w:id="1" w:name="_GoBack"/>
      <w:bookmarkEnd w:id="1"/>
    </w:p>
    <w:sectPr w:rsidR="00D04BD6" w:rsidRPr="00FB3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F785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41522BD"/>
    <w:multiLevelType w:val="hybridMultilevel"/>
    <w:tmpl w:val="B4DE5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CA0AC7"/>
    <w:multiLevelType w:val="hybridMultilevel"/>
    <w:tmpl w:val="5A06E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1B8"/>
    <w:rsid w:val="003801C6"/>
    <w:rsid w:val="004461B8"/>
    <w:rsid w:val="00470F62"/>
    <w:rsid w:val="00512871"/>
    <w:rsid w:val="0062498E"/>
    <w:rsid w:val="0066272C"/>
    <w:rsid w:val="00D04BD6"/>
    <w:rsid w:val="00D256AE"/>
    <w:rsid w:val="00D71716"/>
    <w:rsid w:val="00DF0231"/>
    <w:rsid w:val="00E00E37"/>
    <w:rsid w:val="00FB3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C5BC39-476C-493B-9D98-EF1B40826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0F62"/>
    <w:rPr>
      <w:rFonts w:ascii="Times New Roman" w:hAnsi="Times New Roman"/>
    </w:rPr>
  </w:style>
  <w:style w:type="paragraph" w:styleId="Heading1">
    <w:name w:val="heading 1"/>
    <w:basedOn w:val="Normal"/>
    <w:next w:val="Normal"/>
    <w:link w:val="Heading1Char"/>
    <w:uiPriority w:val="9"/>
    <w:qFormat/>
    <w:rsid w:val="00470F62"/>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0F62"/>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70F6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70F6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70F6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70F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70F6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70F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70F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0F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0F6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0F6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70F6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70F6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70F6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70F6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70F6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70F6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70F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70F62"/>
    <w:rPr>
      <w:rFonts w:asciiTheme="majorHAnsi" w:eastAsiaTheme="majorEastAsia" w:hAnsiTheme="majorHAnsi" w:cstheme="majorBidi"/>
      <w:i/>
      <w:iCs/>
      <w:color w:val="272727" w:themeColor="text1" w:themeTint="D8"/>
      <w:sz w:val="21"/>
      <w:szCs w:val="21"/>
    </w:rPr>
  </w:style>
  <w:style w:type="character" w:customStyle="1" w:styleId="MTEquationSection">
    <w:name w:val="MTEquationSection"/>
    <w:basedOn w:val="DefaultParagraphFont"/>
    <w:rsid w:val="00470F62"/>
    <w:rPr>
      <w:vanish/>
      <w:color w:val="FF0000"/>
    </w:rPr>
  </w:style>
  <w:style w:type="paragraph" w:customStyle="1" w:styleId="MTDisplayEquation">
    <w:name w:val="MTDisplayEquation"/>
    <w:basedOn w:val="Normal"/>
    <w:next w:val="Normal"/>
    <w:link w:val="MTDisplayEquationChar"/>
    <w:rsid w:val="00470F62"/>
    <w:pPr>
      <w:tabs>
        <w:tab w:val="center" w:pos="4680"/>
        <w:tab w:val="right" w:pos="9360"/>
      </w:tabs>
      <w:jc w:val="both"/>
    </w:pPr>
  </w:style>
  <w:style w:type="character" w:customStyle="1" w:styleId="MTDisplayEquationChar">
    <w:name w:val="MTDisplayEquation Char"/>
    <w:basedOn w:val="DefaultParagraphFont"/>
    <w:link w:val="MTDisplayEquation"/>
    <w:rsid w:val="00470F62"/>
  </w:style>
  <w:style w:type="paragraph" w:customStyle="1" w:styleId="Code">
    <w:name w:val="Code"/>
    <w:basedOn w:val="Normal"/>
    <w:link w:val="CodeChar"/>
    <w:qFormat/>
    <w:rsid w:val="00E00E37"/>
    <w:pPr>
      <w:spacing w:after="0"/>
      <w:contextualSpacing/>
    </w:pPr>
    <w:rPr>
      <w:rFonts w:ascii="Courier New" w:hAnsi="Courier New"/>
      <w:sz w:val="20"/>
    </w:rPr>
  </w:style>
  <w:style w:type="table" w:styleId="TableGrid">
    <w:name w:val="Table Grid"/>
    <w:basedOn w:val="TableNormal"/>
    <w:uiPriority w:val="39"/>
    <w:rsid w:val="00380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E00E37"/>
    <w:rPr>
      <w:rFonts w:ascii="Courier New" w:hAnsi="Courier New"/>
      <w:sz w:val="20"/>
    </w:rPr>
  </w:style>
  <w:style w:type="paragraph" w:styleId="ListParagraph">
    <w:name w:val="List Paragraph"/>
    <w:basedOn w:val="Normal"/>
    <w:uiPriority w:val="34"/>
    <w:qFormat/>
    <w:rsid w:val="003801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image" Target="media/image11.wmf"/><Relationship Id="rId39" Type="http://schemas.openxmlformats.org/officeDocument/2006/relationships/oleObject" Target="embeddings/oleObject18.bin"/><Relationship Id="rId21" Type="http://schemas.openxmlformats.org/officeDocument/2006/relationships/oleObject" Target="embeddings/oleObject9.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2.bin"/><Relationship Id="rId50" Type="http://schemas.openxmlformats.org/officeDocument/2006/relationships/fontTable" Target="fontTable.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oleObject" Target="embeddings/oleObject13.bin"/><Relationship Id="rId11" Type="http://schemas.openxmlformats.org/officeDocument/2006/relationships/image" Target="media/image4.wmf"/><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7.bin"/><Relationship Id="rId40" Type="http://schemas.openxmlformats.org/officeDocument/2006/relationships/image" Target="media/image18.wmf"/><Relationship Id="rId45" Type="http://schemas.openxmlformats.org/officeDocument/2006/relationships/oleObject" Target="embeddings/oleObject21.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oleObject" Target="embeddings/oleObject10.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3.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oleObject" Target="embeddings/oleObject14.bin"/><Relationship Id="rId44" Type="http://schemas.openxmlformats.org/officeDocument/2006/relationships/image" Target="media/image20.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image" Target="media/image9.wmf"/><Relationship Id="rId27" Type="http://schemas.openxmlformats.org/officeDocument/2006/relationships/oleObject" Target="embeddings/oleObject12.bin"/><Relationship Id="rId30" Type="http://schemas.openxmlformats.org/officeDocument/2006/relationships/image" Target="media/image13.w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22.wmf"/><Relationship Id="rId8" Type="http://schemas.openxmlformats.org/officeDocument/2006/relationships/oleObject" Target="embeddings/oleObject2.bin"/><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7.wmf"/><Relationship Id="rId46" Type="http://schemas.openxmlformats.org/officeDocument/2006/relationships/image" Target="media/image21.wmf"/><Relationship Id="rId20" Type="http://schemas.openxmlformats.org/officeDocument/2006/relationships/oleObject" Target="embeddings/oleObject8.bin"/><Relationship Id="rId41" Type="http://schemas.openxmlformats.org/officeDocument/2006/relationships/oleObject" Target="embeddings/oleObject19.bin"/><Relationship Id="rId1" Type="http://schemas.openxmlformats.org/officeDocument/2006/relationships/numbering" Target="numbering.xml"/><Relationship Id="rId6"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1850</Words>
  <Characters>10548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maas</dc:creator>
  <cp:keywords/>
  <dc:description/>
  <cp:lastModifiedBy>steve maas</cp:lastModifiedBy>
  <cp:revision>3</cp:revision>
  <dcterms:created xsi:type="dcterms:W3CDTF">2018-03-09T18:26:00Z</dcterms:created>
  <dcterms:modified xsi:type="dcterms:W3CDTF">2018-03-09T19:43:00Z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(#S1.#E1)</vt:lpwstr>
  </property>
</Properties>
</file>