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503" w:rsidRDefault="00454A66" w:rsidP="00454A66">
      <w:pPr>
        <w:pStyle w:val="Title"/>
      </w:pPr>
      <w:r>
        <w:fldChar w:fldCharType="begin"/>
      </w:r>
      <w:r>
        <w:instrText xml:space="preserve"> MACROBUTTON MTEditEquationSection2 </w:instrText>
      </w:r>
      <w:r w:rsidRPr="00454A66">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t>FEBioHeat Plugin</w:t>
      </w:r>
      <w:bookmarkStart w:id="0" w:name="_GoBack"/>
      <w:bookmarkEnd w:id="0"/>
    </w:p>
    <w:sdt>
      <w:sdtPr>
        <w:id w:val="-214434681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C7494" w:rsidRDefault="006C7494">
          <w:pPr>
            <w:pStyle w:val="TOCHeading"/>
          </w:pPr>
          <w:r>
            <w:t>Table of Contents</w:t>
          </w:r>
        </w:p>
        <w:p w:rsidR="006C7494" w:rsidRDefault="006C7494">
          <w:pPr>
            <w:pStyle w:val="TOC1"/>
            <w:tabs>
              <w:tab w:val="left" w:pos="440"/>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22030312" w:history="1">
            <w:r w:rsidRPr="00F774B4">
              <w:rPr>
                <w:rStyle w:val="Hyperlink"/>
                <w:noProof/>
              </w:rPr>
              <w:t>1</w:t>
            </w:r>
            <w:r>
              <w:rPr>
                <w:noProof/>
              </w:rPr>
              <w:tab/>
            </w:r>
            <w:r w:rsidRPr="00F774B4">
              <w:rPr>
                <w:rStyle w:val="Hyperlink"/>
                <w:noProof/>
              </w:rPr>
              <w:t>Introduction</w:t>
            </w:r>
            <w:r>
              <w:rPr>
                <w:noProof/>
                <w:webHidden/>
              </w:rPr>
              <w:tab/>
            </w:r>
            <w:r>
              <w:rPr>
                <w:noProof/>
                <w:webHidden/>
              </w:rPr>
              <w:fldChar w:fldCharType="begin"/>
            </w:r>
            <w:r>
              <w:rPr>
                <w:noProof/>
                <w:webHidden/>
              </w:rPr>
              <w:instrText xml:space="preserve"> PAGEREF _Toc522030312 \h </w:instrText>
            </w:r>
            <w:r>
              <w:rPr>
                <w:noProof/>
                <w:webHidden/>
              </w:rPr>
            </w:r>
            <w:r>
              <w:rPr>
                <w:noProof/>
                <w:webHidden/>
              </w:rPr>
              <w:fldChar w:fldCharType="separate"/>
            </w:r>
            <w:r>
              <w:rPr>
                <w:noProof/>
                <w:webHidden/>
              </w:rPr>
              <w:t>1</w:t>
            </w:r>
            <w:r>
              <w:rPr>
                <w:noProof/>
                <w:webHidden/>
              </w:rPr>
              <w:fldChar w:fldCharType="end"/>
            </w:r>
          </w:hyperlink>
        </w:p>
        <w:p w:rsidR="006C7494" w:rsidRDefault="006C7494">
          <w:pPr>
            <w:pStyle w:val="TOC1"/>
            <w:tabs>
              <w:tab w:val="left" w:pos="440"/>
              <w:tab w:val="right" w:leader="dot" w:pos="9350"/>
            </w:tabs>
            <w:rPr>
              <w:noProof/>
            </w:rPr>
          </w:pPr>
          <w:hyperlink w:anchor="_Toc522030313" w:history="1">
            <w:r w:rsidRPr="00F774B4">
              <w:rPr>
                <w:rStyle w:val="Hyperlink"/>
                <w:noProof/>
              </w:rPr>
              <w:t>2</w:t>
            </w:r>
            <w:r>
              <w:rPr>
                <w:noProof/>
              </w:rPr>
              <w:tab/>
            </w:r>
            <w:r w:rsidRPr="00F774B4">
              <w:rPr>
                <w:rStyle w:val="Hyperlink"/>
                <w:noProof/>
              </w:rPr>
              <w:t>Heat Module</w:t>
            </w:r>
            <w:r>
              <w:rPr>
                <w:noProof/>
                <w:webHidden/>
              </w:rPr>
              <w:tab/>
            </w:r>
            <w:r>
              <w:rPr>
                <w:noProof/>
                <w:webHidden/>
              </w:rPr>
              <w:fldChar w:fldCharType="begin"/>
            </w:r>
            <w:r>
              <w:rPr>
                <w:noProof/>
                <w:webHidden/>
              </w:rPr>
              <w:instrText xml:space="preserve"> PAGEREF _Toc522030313 \h </w:instrText>
            </w:r>
            <w:r>
              <w:rPr>
                <w:noProof/>
                <w:webHidden/>
              </w:rPr>
            </w:r>
            <w:r>
              <w:rPr>
                <w:noProof/>
                <w:webHidden/>
              </w:rPr>
              <w:fldChar w:fldCharType="separate"/>
            </w:r>
            <w:r>
              <w:rPr>
                <w:noProof/>
                <w:webHidden/>
              </w:rPr>
              <w:t>1</w:t>
            </w:r>
            <w:r>
              <w:rPr>
                <w:noProof/>
                <w:webHidden/>
              </w:rPr>
              <w:fldChar w:fldCharType="end"/>
            </w:r>
          </w:hyperlink>
        </w:p>
        <w:p w:rsidR="006C7494" w:rsidRDefault="006C7494">
          <w:pPr>
            <w:pStyle w:val="TOC1"/>
            <w:tabs>
              <w:tab w:val="left" w:pos="440"/>
              <w:tab w:val="right" w:leader="dot" w:pos="9350"/>
            </w:tabs>
            <w:rPr>
              <w:noProof/>
            </w:rPr>
          </w:pPr>
          <w:hyperlink w:anchor="_Toc522030314" w:history="1">
            <w:r w:rsidRPr="00F774B4">
              <w:rPr>
                <w:rStyle w:val="Hyperlink"/>
                <w:noProof/>
              </w:rPr>
              <w:t>3</w:t>
            </w:r>
            <w:r>
              <w:rPr>
                <w:noProof/>
              </w:rPr>
              <w:tab/>
            </w:r>
            <w:r w:rsidRPr="00F774B4">
              <w:rPr>
                <w:rStyle w:val="Hyperlink"/>
                <w:noProof/>
              </w:rPr>
              <w:t>Heat transfer constitutive model</w:t>
            </w:r>
            <w:r>
              <w:rPr>
                <w:noProof/>
                <w:webHidden/>
              </w:rPr>
              <w:tab/>
            </w:r>
            <w:r>
              <w:rPr>
                <w:noProof/>
                <w:webHidden/>
              </w:rPr>
              <w:fldChar w:fldCharType="begin"/>
            </w:r>
            <w:r>
              <w:rPr>
                <w:noProof/>
                <w:webHidden/>
              </w:rPr>
              <w:instrText xml:space="preserve"> PAGEREF _Toc522030314 \h </w:instrText>
            </w:r>
            <w:r>
              <w:rPr>
                <w:noProof/>
                <w:webHidden/>
              </w:rPr>
            </w:r>
            <w:r>
              <w:rPr>
                <w:noProof/>
                <w:webHidden/>
              </w:rPr>
              <w:fldChar w:fldCharType="separate"/>
            </w:r>
            <w:r>
              <w:rPr>
                <w:noProof/>
                <w:webHidden/>
              </w:rPr>
              <w:t>1</w:t>
            </w:r>
            <w:r>
              <w:rPr>
                <w:noProof/>
                <w:webHidden/>
              </w:rPr>
              <w:fldChar w:fldCharType="end"/>
            </w:r>
          </w:hyperlink>
        </w:p>
        <w:p w:rsidR="006C7494" w:rsidRDefault="006C7494">
          <w:pPr>
            <w:pStyle w:val="TOC1"/>
            <w:tabs>
              <w:tab w:val="left" w:pos="440"/>
              <w:tab w:val="right" w:leader="dot" w:pos="9350"/>
            </w:tabs>
            <w:rPr>
              <w:noProof/>
            </w:rPr>
          </w:pPr>
          <w:hyperlink w:anchor="_Toc522030315" w:history="1">
            <w:r w:rsidRPr="00F774B4">
              <w:rPr>
                <w:rStyle w:val="Hyperlink"/>
                <w:noProof/>
              </w:rPr>
              <w:t>4</w:t>
            </w:r>
            <w:r>
              <w:rPr>
                <w:noProof/>
              </w:rPr>
              <w:tab/>
            </w:r>
            <w:r w:rsidRPr="00F774B4">
              <w:rPr>
                <w:rStyle w:val="Hyperlink"/>
                <w:noProof/>
              </w:rPr>
              <w:t>Heat Transfer Boundary Conditions</w:t>
            </w:r>
            <w:r>
              <w:rPr>
                <w:noProof/>
                <w:webHidden/>
              </w:rPr>
              <w:tab/>
            </w:r>
            <w:r>
              <w:rPr>
                <w:noProof/>
                <w:webHidden/>
              </w:rPr>
              <w:fldChar w:fldCharType="begin"/>
            </w:r>
            <w:r>
              <w:rPr>
                <w:noProof/>
                <w:webHidden/>
              </w:rPr>
              <w:instrText xml:space="preserve"> PAGEREF _Toc522030315 \h </w:instrText>
            </w:r>
            <w:r>
              <w:rPr>
                <w:noProof/>
                <w:webHidden/>
              </w:rPr>
            </w:r>
            <w:r>
              <w:rPr>
                <w:noProof/>
                <w:webHidden/>
              </w:rPr>
              <w:fldChar w:fldCharType="separate"/>
            </w:r>
            <w:r>
              <w:rPr>
                <w:noProof/>
                <w:webHidden/>
              </w:rPr>
              <w:t>2</w:t>
            </w:r>
            <w:r>
              <w:rPr>
                <w:noProof/>
                <w:webHidden/>
              </w:rPr>
              <w:fldChar w:fldCharType="end"/>
            </w:r>
          </w:hyperlink>
        </w:p>
        <w:p w:rsidR="006C7494" w:rsidRDefault="006C7494">
          <w:pPr>
            <w:pStyle w:val="TOC2"/>
            <w:tabs>
              <w:tab w:val="left" w:pos="880"/>
              <w:tab w:val="right" w:leader="dot" w:pos="9350"/>
            </w:tabs>
            <w:rPr>
              <w:noProof/>
            </w:rPr>
          </w:pPr>
          <w:hyperlink w:anchor="_Toc522030316" w:history="1">
            <w:r w:rsidRPr="00F774B4">
              <w:rPr>
                <w:rStyle w:val="Hyperlink"/>
                <w:noProof/>
              </w:rPr>
              <w:t>4.1</w:t>
            </w:r>
            <w:r>
              <w:rPr>
                <w:noProof/>
              </w:rPr>
              <w:tab/>
            </w:r>
            <w:r w:rsidRPr="00F774B4">
              <w:rPr>
                <w:rStyle w:val="Hyperlink"/>
                <w:noProof/>
              </w:rPr>
              <w:t>Fixed and prescribed temperature</w:t>
            </w:r>
            <w:r>
              <w:rPr>
                <w:noProof/>
                <w:webHidden/>
              </w:rPr>
              <w:tab/>
            </w:r>
            <w:r>
              <w:rPr>
                <w:noProof/>
                <w:webHidden/>
              </w:rPr>
              <w:fldChar w:fldCharType="begin"/>
            </w:r>
            <w:r>
              <w:rPr>
                <w:noProof/>
                <w:webHidden/>
              </w:rPr>
              <w:instrText xml:space="preserve"> PAGEREF _Toc522030316 \h </w:instrText>
            </w:r>
            <w:r>
              <w:rPr>
                <w:noProof/>
                <w:webHidden/>
              </w:rPr>
            </w:r>
            <w:r>
              <w:rPr>
                <w:noProof/>
                <w:webHidden/>
              </w:rPr>
              <w:fldChar w:fldCharType="separate"/>
            </w:r>
            <w:r>
              <w:rPr>
                <w:noProof/>
                <w:webHidden/>
              </w:rPr>
              <w:t>2</w:t>
            </w:r>
            <w:r>
              <w:rPr>
                <w:noProof/>
                <w:webHidden/>
              </w:rPr>
              <w:fldChar w:fldCharType="end"/>
            </w:r>
          </w:hyperlink>
        </w:p>
        <w:p w:rsidR="006C7494" w:rsidRDefault="006C7494">
          <w:pPr>
            <w:pStyle w:val="TOC2"/>
            <w:tabs>
              <w:tab w:val="left" w:pos="880"/>
              <w:tab w:val="right" w:leader="dot" w:pos="9350"/>
            </w:tabs>
            <w:rPr>
              <w:noProof/>
            </w:rPr>
          </w:pPr>
          <w:hyperlink w:anchor="_Toc522030317" w:history="1">
            <w:r w:rsidRPr="00F774B4">
              <w:rPr>
                <w:rStyle w:val="Hyperlink"/>
                <w:noProof/>
              </w:rPr>
              <w:t>4.2</w:t>
            </w:r>
            <w:r>
              <w:rPr>
                <w:noProof/>
              </w:rPr>
              <w:tab/>
            </w:r>
            <w:r w:rsidRPr="00F774B4">
              <w:rPr>
                <w:rStyle w:val="Hyperlink"/>
                <w:noProof/>
              </w:rPr>
              <w:t>Heat flux</w:t>
            </w:r>
            <w:r>
              <w:rPr>
                <w:noProof/>
                <w:webHidden/>
              </w:rPr>
              <w:tab/>
            </w:r>
            <w:r>
              <w:rPr>
                <w:noProof/>
                <w:webHidden/>
              </w:rPr>
              <w:fldChar w:fldCharType="begin"/>
            </w:r>
            <w:r>
              <w:rPr>
                <w:noProof/>
                <w:webHidden/>
              </w:rPr>
              <w:instrText xml:space="preserve"> PAGEREF _Toc522030317 \h </w:instrText>
            </w:r>
            <w:r>
              <w:rPr>
                <w:noProof/>
                <w:webHidden/>
              </w:rPr>
            </w:r>
            <w:r>
              <w:rPr>
                <w:noProof/>
                <w:webHidden/>
              </w:rPr>
              <w:fldChar w:fldCharType="separate"/>
            </w:r>
            <w:r>
              <w:rPr>
                <w:noProof/>
                <w:webHidden/>
              </w:rPr>
              <w:t>2</w:t>
            </w:r>
            <w:r>
              <w:rPr>
                <w:noProof/>
                <w:webHidden/>
              </w:rPr>
              <w:fldChar w:fldCharType="end"/>
            </w:r>
          </w:hyperlink>
        </w:p>
        <w:p w:rsidR="006C7494" w:rsidRDefault="006C7494">
          <w:pPr>
            <w:pStyle w:val="TOC2"/>
            <w:tabs>
              <w:tab w:val="left" w:pos="880"/>
              <w:tab w:val="right" w:leader="dot" w:pos="9350"/>
            </w:tabs>
            <w:rPr>
              <w:noProof/>
            </w:rPr>
          </w:pPr>
          <w:hyperlink w:anchor="_Toc522030318" w:history="1">
            <w:r w:rsidRPr="00F774B4">
              <w:rPr>
                <w:rStyle w:val="Hyperlink"/>
                <w:noProof/>
              </w:rPr>
              <w:t>4.3</w:t>
            </w:r>
            <w:r>
              <w:rPr>
                <w:noProof/>
              </w:rPr>
              <w:tab/>
            </w:r>
            <w:r w:rsidRPr="00F774B4">
              <w:rPr>
                <w:rStyle w:val="Hyperlink"/>
                <w:noProof/>
              </w:rPr>
              <w:t>Convective heat flux</w:t>
            </w:r>
            <w:r>
              <w:rPr>
                <w:noProof/>
                <w:webHidden/>
              </w:rPr>
              <w:tab/>
            </w:r>
            <w:r>
              <w:rPr>
                <w:noProof/>
                <w:webHidden/>
              </w:rPr>
              <w:fldChar w:fldCharType="begin"/>
            </w:r>
            <w:r>
              <w:rPr>
                <w:noProof/>
                <w:webHidden/>
              </w:rPr>
              <w:instrText xml:space="preserve"> PAGEREF _Toc522030318 \h </w:instrText>
            </w:r>
            <w:r>
              <w:rPr>
                <w:noProof/>
                <w:webHidden/>
              </w:rPr>
            </w:r>
            <w:r>
              <w:rPr>
                <w:noProof/>
                <w:webHidden/>
              </w:rPr>
              <w:fldChar w:fldCharType="separate"/>
            </w:r>
            <w:r>
              <w:rPr>
                <w:noProof/>
                <w:webHidden/>
              </w:rPr>
              <w:t>2</w:t>
            </w:r>
            <w:r>
              <w:rPr>
                <w:noProof/>
                <w:webHidden/>
              </w:rPr>
              <w:fldChar w:fldCharType="end"/>
            </w:r>
          </w:hyperlink>
        </w:p>
        <w:p w:rsidR="006C7494" w:rsidRDefault="006C7494">
          <w:pPr>
            <w:pStyle w:val="TOC1"/>
            <w:tabs>
              <w:tab w:val="left" w:pos="440"/>
              <w:tab w:val="right" w:leader="dot" w:pos="9350"/>
            </w:tabs>
            <w:rPr>
              <w:noProof/>
            </w:rPr>
          </w:pPr>
          <w:hyperlink w:anchor="_Toc522030319" w:history="1">
            <w:r w:rsidRPr="00F774B4">
              <w:rPr>
                <w:rStyle w:val="Hyperlink"/>
                <w:noProof/>
              </w:rPr>
              <w:t>5</w:t>
            </w:r>
            <w:r>
              <w:rPr>
                <w:noProof/>
              </w:rPr>
              <w:tab/>
            </w:r>
            <w:r w:rsidRPr="00F774B4">
              <w:rPr>
                <w:rStyle w:val="Hyperlink"/>
                <w:noProof/>
              </w:rPr>
              <w:t>Heat source</w:t>
            </w:r>
            <w:r>
              <w:rPr>
                <w:noProof/>
                <w:webHidden/>
              </w:rPr>
              <w:tab/>
            </w:r>
            <w:r>
              <w:rPr>
                <w:noProof/>
                <w:webHidden/>
              </w:rPr>
              <w:fldChar w:fldCharType="begin"/>
            </w:r>
            <w:r>
              <w:rPr>
                <w:noProof/>
                <w:webHidden/>
              </w:rPr>
              <w:instrText xml:space="preserve"> PAGEREF _Toc522030319 \h </w:instrText>
            </w:r>
            <w:r>
              <w:rPr>
                <w:noProof/>
                <w:webHidden/>
              </w:rPr>
            </w:r>
            <w:r>
              <w:rPr>
                <w:noProof/>
                <w:webHidden/>
              </w:rPr>
              <w:fldChar w:fldCharType="separate"/>
            </w:r>
            <w:r>
              <w:rPr>
                <w:noProof/>
                <w:webHidden/>
              </w:rPr>
              <w:t>2</w:t>
            </w:r>
            <w:r>
              <w:rPr>
                <w:noProof/>
                <w:webHidden/>
              </w:rPr>
              <w:fldChar w:fldCharType="end"/>
            </w:r>
          </w:hyperlink>
        </w:p>
        <w:p w:rsidR="006C7494" w:rsidRDefault="006C7494">
          <w:pPr>
            <w:pStyle w:val="TOC1"/>
            <w:tabs>
              <w:tab w:val="left" w:pos="440"/>
              <w:tab w:val="right" w:leader="dot" w:pos="9350"/>
            </w:tabs>
            <w:rPr>
              <w:noProof/>
            </w:rPr>
          </w:pPr>
          <w:hyperlink w:anchor="_Toc522030320" w:history="1">
            <w:r w:rsidRPr="00F774B4">
              <w:rPr>
                <w:rStyle w:val="Hyperlink"/>
                <w:noProof/>
              </w:rPr>
              <w:t>6</w:t>
            </w:r>
            <w:r>
              <w:rPr>
                <w:noProof/>
              </w:rPr>
              <w:tab/>
            </w:r>
            <w:r w:rsidRPr="00F774B4">
              <w:rPr>
                <w:rStyle w:val="Hyperlink"/>
                <w:noProof/>
              </w:rPr>
              <w:t>Output variables</w:t>
            </w:r>
            <w:r>
              <w:rPr>
                <w:noProof/>
                <w:webHidden/>
              </w:rPr>
              <w:tab/>
            </w:r>
            <w:r>
              <w:rPr>
                <w:noProof/>
                <w:webHidden/>
              </w:rPr>
              <w:fldChar w:fldCharType="begin"/>
            </w:r>
            <w:r>
              <w:rPr>
                <w:noProof/>
                <w:webHidden/>
              </w:rPr>
              <w:instrText xml:space="preserve"> PAGEREF _Toc522030320 \h </w:instrText>
            </w:r>
            <w:r>
              <w:rPr>
                <w:noProof/>
                <w:webHidden/>
              </w:rPr>
            </w:r>
            <w:r>
              <w:rPr>
                <w:noProof/>
                <w:webHidden/>
              </w:rPr>
              <w:fldChar w:fldCharType="separate"/>
            </w:r>
            <w:r>
              <w:rPr>
                <w:noProof/>
                <w:webHidden/>
              </w:rPr>
              <w:t>3</w:t>
            </w:r>
            <w:r>
              <w:rPr>
                <w:noProof/>
                <w:webHidden/>
              </w:rPr>
              <w:fldChar w:fldCharType="end"/>
            </w:r>
          </w:hyperlink>
        </w:p>
        <w:p w:rsidR="006C7494" w:rsidRDefault="006C7494">
          <w:pPr>
            <w:pStyle w:val="TOC2"/>
            <w:tabs>
              <w:tab w:val="left" w:pos="880"/>
              <w:tab w:val="right" w:leader="dot" w:pos="9350"/>
            </w:tabs>
            <w:rPr>
              <w:noProof/>
            </w:rPr>
          </w:pPr>
          <w:hyperlink w:anchor="_Toc522030321" w:history="1">
            <w:r w:rsidRPr="00F774B4">
              <w:rPr>
                <w:rStyle w:val="Hyperlink"/>
                <w:noProof/>
              </w:rPr>
              <w:t>6.1</w:t>
            </w:r>
            <w:r>
              <w:rPr>
                <w:noProof/>
              </w:rPr>
              <w:tab/>
            </w:r>
            <w:r w:rsidRPr="00F774B4">
              <w:rPr>
                <w:rStyle w:val="Hyperlink"/>
                <w:noProof/>
              </w:rPr>
              <w:t>Plot file variables</w:t>
            </w:r>
            <w:r>
              <w:rPr>
                <w:noProof/>
                <w:webHidden/>
              </w:rPr>
              <w:tab/>
            </w:r>
            <w:r>
              <w:rPr>
                <w:noProof/>
                <w:webHidden/>
              </w:rPr>
              <w:fldChar w:fldCharType="begin"/>
            </w:r>
            <w:r>
              <w:rPr>
                <w:noProof/>
                <w:webHidden/>
              </w:rPr>
              <w:instrText xml:space="preserve"> PAGEREF _Toc522030321 \h </w:instrText>
            </w:r>
            <w:r>
              <w:rPr>
                <w:noProof/>
                <w:webHidden/>
              </w:rPr>
            </w:r>
            <w:r>
              <w:rPr>
                <w:noProof/>
                <w:webHidden/>
              </w:rPr>
              <w:fldChar w:fldCharType="separate"/>
            </w:r>
            <w:r>
              <w:rPr>
                <w:noProof/>
                <w:webHidden/>
              </w:rPr>
              <w:t>3</w:t>
            </w:r>
            <w:r>
              <w:rPr>
                <w:noProof/>
                <w:webHidden/>
              </w:rPr>
              <w:fldChar w:fldCharType="end"/>
            </w:r>
          </w:hyperlink>
        </w:p>
        <w:p w:rsidR="006C7494" w:rsidRDefault="006C7494">
          <w:pPr>
            <w:pStyle w:val="TOC2"/>
            <w:tabs>
              <w:tab w:val="left" w:pos="880"/>
              <w:tab w:val="right" w:leader="dot" w:pos="9350"/>
            </w:tabs>
            <w:rPr>
              <w:noProof/>
            </w:rPr>
          </w:pPr>
          <w:hyperlink w:anchor="_Toc522030322" w:history="1">
            <w:r w:rsidRPr="00F774B4">
              <w:rPr>
                <w:rStyle w:val="Hyperlink"/>
                <w:noProof/>
              </w:rPr>
              <w:t>6.2</w:t>
            </w:r>
            <w:r>
              <w:rPr>
                <w:noProof/>
              </w:rPr>
              <w:tab/>
            </w:r>
            <w:r w:rsidRPr="00F774B4">
              <w:rPr>
                <w:rStyle w:val="Hyperlink"/>
                <w:noProof/>
              </w:rPr>
              <w:t>Log file variables</w:t>
            </w:r>
            <w:r>
              <w:rPr>
                <w:noProof/>
                <w:webHidden/>
              </w:rPr>
              <w:tab/>
            </w:r>
            <w:r>
              <w:rPr>
                <w:noProof/>
                <w:webHidden/>
              </w:rPr>
              <w:fldChar w:fldCharType="begin"/>
            </w:r>
            <w:r>
              <w:rPr>
                <w:noProof/>
                <w:webHidden/>
              </w:rPr>
              <w:instrText xml:space="preserve"> PAGEREF _Toc522030322 \h </w:instrText>
            </w:r>
            <w:r>
              <w:rPr>
                <w:noProof/>
                <w:webHidden/>
              </w:rPr>
            </w:r>
            <w:r>
              <w:rPr>
                <w:noProof/>
                <w:webHidden/>
              </w:rPr>
              <w:fldChar w:fldCharType="separate"/>
            </w:r>
            <w:r>
              <w:rPr>
                <w:noProof/>
                <w:webHidden/>
              </w:rPr>
              <w:t>3</w:t>
            </w:r>
            <w:r>
              <w:rPr>
                <w:noProof/>
                <w:webHidden/>
              </w:rPr>
              <w:fldChar w:fldCharType="end"/>
            </w:r>
          </w:hyperlink>
        </w:p>
        <w:p w:rsidR="006C7494" w:rsidRDefault="006C7494">
          <w:r>
            <w:rPr>
              <w:b/>
              <w:bCs/>
              <w:noProof/>
            </w:rPr>
            <w:fldChar w:fldCharType="end"/>
          </w:r>
        </w:p>
      </w:sdtContent>
    </w:sdt>
    <w:p w:rsidR="006C7494" w:rsidRPr="006C7494" w:rsidRDefault="006C7494" w:rsidP="006C7494"/>
    <w:p w:rsidR="006C7494" w:rsidRDefault="006C7494">
      <w:pPr>
        <w:rPr>
          <w:rFonts w:asciiTheme="majorHAnsi" w:eastAsiaTheme="majorEastAsia" w:hAnsiTheme="majorHAnsi" w:cstheme="majorBidi"/>
          <w:color w:val="2E74B5" w:themeColor="accent1" w:themeShade="BF"/>
          <w:sz w:val="32"/>
          <w:szCs w:val="32"/>
        </w:rPr>
      </w:pPr>
      <w:bookmarkStart w:id="1" w:name="_Toc522030312"/>
      <w:r>
        <w:br w:type="page"/>
      </w:r>
    </w:p>
    <w:p w:rsidR="00454A66" w:rsidRDefault="00454A66" w:rsidP="00454A66">
      <w:pPr>
        <w:pStyle w:val="Heading1"/>
      </w:pPr>
      <w:r>
        <w:lastRenderedPageBreak/>
        <w:t>Introduction</w:t>
      </w:r>
      <w:bookmarkEnd w:id="1"/>
    </w:p>
    <w:p w:rsidR="00454A66" w:rsidRDefault="00454A66" w:rsidP="00454A66">
      <w:pPr>
        <w:jc w:val="both"/>
      </w:pPr>
      <w:r>
        <w:t xml:space="preserve">The FEBioHeat plugin adds the ability to FEBio to solve heat transfer problems. It currently supports steady-state and transient linear heat transfer analysis. This document describes the format of the FEBio input file for a heat-transfer analysis. </w:t>
      </w:r>
    </w:p>
    <w:p w:rsidR="00BF6DA2" w:rsidRDefault="00BF6DA2" w:rsidP="00454A66">
      <w:pPr>
        <w:jc w:val="both"/>
      </w:pPr>
      <w:r>
        <w:t xml:space="preserve">This manual assumes the 2.5 FEBio format specification. </w:t>
      </w:r>
    </w:p>
    <w:p w:rsidR="00454A66" w:rsidRDefault="00454A66" w:rsidP="00454A66">
      <w:pPr>
        <w:pStyle w:val="Heading1"/>
      </w:pPr>
      <w:bookmarkStart w:id="2" w:name="_Toc522030313"/>
      <w:r>
        <w:t>Heat Module</w:t>
      </w:r>
      <w:bookmarkEnd w:id="2"/>
    </w:p>
    <w:p w:rsidR="00454A66" w:rsidRDefault="00454A66" w:rsidP="00454A66">
      <w:r>
        <w:t xml:space="preserve">The module type must be set to “heat” for solving a heat-transfer problem with this plugin. </w:t>
      </w:r>
    </w:p>
    <w:p w:rsidR="00454A66" w:rsidRPr="00454A66" w:rsidRDefault="00454A66" w:rsidP="00454A66">
      <w:pPr>
        <w:pStyle w:val="code"/>
      </w:pPr>
      <w:r w:rsidRPr="00454A66">
        <w:t>&lt;Module type="heat"/&gt;</w:t>
      </w:r>
    </w:p>
    <w:p w:rsidR="00454A66" w:rsidRDefault="00454A66" w:rsidP="00454A66">
      <w:pPr>
        <w:pStyle w:val="Heading1"/>
      </w:pPr>
      <w:bookmarkStart w:id="3" w:name="_Toc522030314"/>
      <w:r>
        <w:t>Heat transfer constitutive model</w:t>
      </w:r>
      <w:bookmarkEnd w:id="3"/>
    </w:p>
    <w:p w:rsidR="00454A66" w:rsidRDefault="00454A66" w:rsidP="00454A66">
      <w:r>
        <w:t xml:space="preserve">Currently, only one constitutive model is supported for heat-transfer analysis, namely the “isotropic Fourier”, which defines the heat flux </w:t>
      </w:r>
      <w:r w:rsidRPr="00454A66">
        <w:rPr>
          <w:rFonts w:ascii="Times New Roman" w:hAnsi="Times New Roman" w:cs="Times New Roman"/>
          <w:b/>
        </w:rPr>
        <w:t>q</w:t>
      </w:r>
      <w:r>
        <w:rPr>
          <w:b/>
        </w:rPr>
        <w:t xml:space="preserve"> </w:t>
      </w:r>
      <w:r>
        <w:t>as follows.</w:t>
      </w:r>
    </w:p>
    <w:p w:rsidR="00454A66" w:rsidRDefault="00454A66" w:rsidP="00454A66">
      <w:pPr>
        <w:pStyle w:val="MTDisplayEquation"/>
      </w:pPr>
      <w:r>
        <w:tab/>
      </w:r>
      <w:r w:rsidRPr="00454A66">
        <w:rPr>
          <w:position w:val="-10"/>
        </w:rPr>
        <w:object w:dxaOrig="10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pt;height:15.9pt" o:ole="">
            <v:imagedata r:id="rId8" o:title=""/>
          </v:shape>
          <o:OLEObject Type="Embed" ProgID="Equation.DSMT4" ShapeID="_x0000_i1025" DrawAspect="Content" ObjectID="_1595772205" r:id="rId9"/>
        </w:object>
      </w:r>
      <w:r>
        <w:t xml:space="preserve"> </w:t>
      </w:r>
      <w:r>
        <w:tab/>
      </w:r>
      <w:r w:rsidR="00294041">
        <w:fldChar w:fldCharType="begin"/>
      </w:r>
      <w:r w:rsidR="00294041">
        <w:instrText xml:space="preserve"> MACROBUTTON MTPlaceRef \* MERGEFORMAT </w:instrText>
      </w:r>
      <w:r w:rsidR="00294041">
        <w:fldChar w:fldCharType="begin"/>
      </w:r>
      <w:r w:rsidR="00294041">
        <w:instrText xml:space="preserve"> SEQ MTEqn \h \* MERGEFORMAT </w:instrText>
      </w:r>
      <w:r w:rsidR="00294041">
        <w:fldChar w:fldCharType="end"/>
      </w:r>
      <w:r w:rsidR="00294041">
        <w:instrText>(</w:instrText>
      </w:r>
      <w:fldSimple w:instr=" SEQ MTEqn \c \* Arabic \* MERGEFORMAT ">
        <w:r w:rsidR="00294041">
          <w:rPr>
            <w:noProof/>
          </w:rPr>
          <w:instrText>1</w:instrText>
        </w:r>
      </w:fldSimple>
      <w:r w:rsidR="00294041">
        <w:instrText>)</w:instrText>
      </w:r>
      <w:r w:rsidR="00294041">
        <w:fldChar w:fldCharType="end"/>
      </w:r>
    </w:p>
    <w:p w:rsidR="00454A66" w:rsidRPr="00454A66" w:rsidRDefault="00454A66" w:rsidP="00454A66">
      <w:r>
        <w:t xml:space="preserve">Here, </w:t>
      </w:r>
      <w:r w:rsidRPr="00454A66">
        <w:rPr>
          <w:rFonts w:ascii="Times New Roman" w:hAnsi="Times New Roman" w:cs="Times New Roman"/>
          <w:i/>
        </w:rPr>
        <w:t>T</w:t>
      </w:r>
      <w:r>
        <w:t xml:space="preserve"> is the temperature and </w:t>
      </w:r>
      <w:r w:rsidRPr="00454A66">
        <w:rPr>
          <w:rFonts w:ascii="Times New Roman" w:hAnsi="Times New Roman" w:cs="Times New Roman"/>
          <w:i/>
        </w:rPr>
        <w:t>k</w:t>
      </w:r>
      <w:r>
        <w:t xml:space="preserve"> the thermal diffusivity. </w:t>
      </w:r>
    </w:p>
    <w:p w:rsidR="00454A66" w:rsidRDefault="00454A66" w:rsidP="00454A66">
      <w:r>
        <w:t xml:space="preserve">This material has three parameters as shown in the following table. </w:t>
      </w:r>
    </w:p>
    <w:tbl>
      <w:tblPr>
        <w:tblStyle w:val="TableGrid"/>
        <w:tblW w:w="0" w:type="auto"/>
        <w:tblLook w:val="04A0" w:firstRow="1" w:lastRow="0" w:firstColumn="1" w:lastColumn="0" w:noHBand="0" w:noVBand="1"/>
      </w:tblPr>
      <w:tblGrid>
        <w:gridCol w:w="1373"/>
        <w:gridCol w:w="6272"/>
        <w:gridCol w:w="1705"/>
      </w:tblGrid>
      <w:tr w:rsidR="00454A66" w:rsidTr="00454A66">
        <w:tc>
          <w:tcPr>
            <w:tcW w:w="1373" w:type="dxa"/>
            <w:shd w:val="clear" w:color="auto" w:fill="DEEAF6" w:themeFill="accent1" w:themeFillTint="33"/>
          </w:tcPr>
          <w:p w:rsidR="00454A66" w:rsidRDefault="00454A66" w:rsidP="00454A66">
            <w:r>
              <w:t>parameter</w:t>
            </w:r>
          </w:p>
        </w:tc>
        <w:tc>
          <w:tcPr>
            <w:tcW w:w="6272" w:type="dxa"/>
            <w:shd w:val="clear" w:color="auto" w:fill="DEEAF6" w:themeFill="accent1" w:themeFillTint="33"/>
          </w:tcPr>
          <w:p w:rsidR="00454A66" w:rsidRDefault="00454A66" w:rsidP="00454A66">
            <w:r>
              <w:t>description</w:t>
            </w:r>
          </w:p>
        </w:tc>
        <w:tc>
          <w:tcPr>
            <w:tcW w:w="1705" w:type="dxa"/>
            <w:shd w:val="clear" w:color="auto" w:fill="DEEAF6" w:themeFill="accent1" w:themeFillTint="33"/>
          </w:tcPr>
          <w:p w:rsidR="00454A66" w:rsidRDefault="00454A66" w:rsidP="00454A66">
            <w:r>
              <w:t>units</w:t>
            </w:r>
            <w:r w:rsidR="005D7E8C">
              <w:t xml:space="preserve"> (SI)</w:t>
            </w:r>
          </w:p>
        </w:tc>
      </w:tr>
      <w:tr w:rsidR="00454A66" w:rsidTr="00454A66">
        <w:tc>
          <w:tcPr>
            <w:tcW w:w="1373" w:type="dxa"/>
          </w:tcPr>
          <w:p w:rsidR="00454A66" w:rsidRDefault="00454A66" w:rsidP="00294041">
            <w:pPr>
              <w:pStyle w:val="code"/>
            </w:pPr>
            <w:r>
              <w:t>density</w:t>
            </w:r>
          </w:p>
        </w:tc>
        <w:tc>
          <w:tcPr>
            <w:tcW w:w="6272" w:type="dxa"/>
          </w:tcPr>
          <w:p w:rsidR="00454A66" w:rsidRDefault="00454A66" w:rsidP="00454A66">
            <w:r>
              <w:t>The material density</w:t>
            </w:r>
          </w:p>
        </w:tc>
        <w:tc>
          <w:tcPr>
            <w:tcW w:w="1705" w:type="dxa"/>
          </w:tcPr>
          <w:p w:rsidR="00454A66" w:rsidRDefault="00454A66" w:rsidP="00454A66">
            <w:r>
              <w:t>kg/m</w:t>
            </w:r>
            <w:r w:rsidRPr="00454A66">
              <w:rPr>
                <w:vertAlign w:val="superscript"/>
              </w:rPr>
              <w:t>3</w:t>
            </w:r>
          </w:p>
        </w:tc>
      </w:tr>
      <w:tr w:rsidR="00454A66" w:rsidTr="00454A66">
        <w:tc>
          <w:tcPr>
            <w:tcW w:w="1373" w:type="dxa"/>
          </w:tcPr>
          <w:p w:rsidR="00454A66" w:rsidRDefault="00454A66" w:rsidP="00294041">
            <w:pPr>
              <w:pStyle w:val="code"/>
            </w:pPr>
            <w:r>
              <w:t>k</w:t>
            </w:r>
          </w:p>
        </w:tc>
        <w:tc>
          <w:tcPr>
            <w:tcW w:w="6272" w:type="dxa"/>
          </w:tcPr>
          <w:p w:rsidR="00454A66" w:rsidRDefault="00454A66" w:rsidP="00454A66">
            <w:r>
              <w:t>The thermal conductivity</w:t>
            </w:r>
          </w:p>
        </w:tc>
        <w:tc>
          <w:tcPr>
            <w:tcW w:w="1705" w:type="dxa"/>
          </w:tcPr>
          <w:p w:rsidR="00454A66" w:rsidRDefault="005D7E8C" w:rsidP="00454A66">
            <w:r>
              <w:t>W/</w:t>
            </w:r>
            <w:proofErr w:type="spellStart"/>
            <w:r>
              <w:t>m.K</w:t>
            </w:r>
            <w:proofErr w:type="spellEnd"/>
          </w:p>
        </w:tc>
      </w:tr>
      <w:tr w:rsidR="00454A66" w:rsidTr="00454A66">
        <w:tc>
          <w:tcPr>
            <w:tcW w:w="1373" w:type="dxa"/>
          </w:tcPr>
          <w:p w:rsidR="00454A66" w:rsidRDefault="00454A66" w:rsidP="00294041">
            <w:pPr>
              <w:pStyle w:val="code"/>
            </w:pPr>
            <w:r>
              <w:t>c</w:t>
            </w:r>
          </w:p>
        </w:tc>
        <w:tc>
          <w:tcPr>
            <w:tcW w:w="6272" w:type="dxa"/>
          </w:tcPr>
          <w:p w:rsidR="00454A66" w:rsidRDefault="00454A66" w:rsidP="00454A66">
            <w:r>
              <w:t>The specific heat</w:t>
            </w:r>
          </w:p>
        </w:tc>
        <w:tc>
          <w:tcPr>
            <w:tcW w:w="1705" w:type="dxa"/>
          </w:tcPr>
          <w:p w:rsidR="00454A66" w:rsidRDefault="005D7E8C" w:rsidP="00454A66">
            <w:r>
              <w:t>J/</w:t>
            </w:r>
            <w:proofErr w:type="spellStart"/>
            <w:r>
              <w:t>kg.K</w:t>
            </w:r>
            <w:proofErr w:type="spellEnd"/>
          </w:p>
        </w:tc>
      </w:tr>
    </w:tbl>
    <w:p w:rsidR="00454A66" w:rsidRDefault="00454A66" w:rsidP="00454A66"/>
    <w:p w:rsidR="00454A66" w:rsidRDefault="005D7E8C" w:rsidP="00454A66">
      <w:r>
        <w:t xml:space="preserve">The units are just given as an example of a consistent set of units for these variables. Users can use their preferred unit system instead. </w:t>
      </w:r>
    </w:p>
    <w:p w:rsidR="005D7E8C" w:rsidRDefault="005D7E8C" w:rsidP="00454A66">
      <w:r>
        <w:t>Note that density and specific heat are only used for transient analysis.</w:t>
      </w:r>
    </w:p>
    <w:p w:rsidR="005D7E8C" w:rsidRDefault="005D7E8C" w:rsidP="00454A66">
      <w:r>
        <w:t xml:space="preserve">An example of material definition follows below. </w:t>
      </w:r>
    </w:p>
    <w:p w:rsidR="005D7E8C" w:rsidRDefault="005D7E8C" w:rsidP="005D7E8C">
      <w:pPr>
        <w:pStyle w:val="code"/>
      </w:pPr>
      <w:r>
        <w:t>&lt;material id="1" name="myMaterial1" type="isotropic Fourier"&gt;</w:t>
      </w:r>
    </w:p>
    <w:p w:rsidR="005D7E8C" w:rsidRDefault="005D7E8C" w:rsidP="005D7E8C">
      <w:pPr>
        <w:pStyle w:val="code"/>
      </w:pPr>
      <w:r>
        <w:tab/>
        <w:t>&lt;density&gt;1.0&lt;/density&gt;</w:t>
      </w:r>
    </w:p>
    <w:p w:rsidR="005D7E8C" w:rsidRDefault="005D7E8C" w:rsidP="005D7E8C">
      <w:pPr>
        <w:pStyle w:val="code"/>
      </w:pPr>
      <w:r>
        <w:tab/>
        <w:t>&lt;k&gt;0.4&lt;/k&gt;</w:t>
      </w:r>
    </w:p>
    <w:p w:rsidR="005D7E8C" w:rsidRDefault="005D7E8C" w:rsidP="005D7E8C">
      <w:pPr>
        <w:pStyle w:val="code"/>
      </w:pPr>
      <w:r>
        <w:tab/>
        <w:t>&lt;c&gt;1.0&lt;/c&gt;</w:t>
      </w:r>
    </w:p>
    <w:p w:rsidR="005D7E8C" w:rsidRDefault="005D7E8C" w:rsidP="005D7E8C">
      <w:pPr>
        <w:pStyle w:val="code"/>
      </w:pPr>
      <w:r>
        <w:t>&lt;/material&gt;</w:t>
      </w:r>
    </w:p>
    <w:p w:rsidR="005D7E8C" w:rsidRDefault="005D7E8C" w:rsidP="005D7E8C">
      <w:pPr>
        <w:pStyle w:val="Heading1"/>
      </w:pPr>
      <w:bookmarkStart w:id="4" w:name="_Toc522030315"/>
      <w:r>
        <w:t>Heat Transfer Boundary Conditions</w:t>
      </w:r>
      <w:bookmarkEnd w:id="4"/>
    </w:p>
    <w:p w:rsidR="005D7E8C" w:rsidRDefault="00BF6DA2" w:rsidP="00BF6DA2">
      <w:pPr>
        <w:pStyle w:val="Heading2"/>
      </w:pPr>
      <w:bookmarkStart w:id="5" w:name="_Toc522030316"/>
      <w:r>
        <w:t>Fixed and prescribed temperature</w:t>
      </w:r>
      <w:bookmarkEnd w:id="5"/>
    </w:p>
    <w:p w:rsidR="00BF6DA2" w:rsidRDefault="00BF6DA2" w:rsidP="00294041">
      <w:r>
        <w:t>A prescribed or fixed temperature boundary condition is defined using “T” as the name of the degree of freedom. Aside from that it is defined similarly to any other prescribed or fixed boundary condition in FEBio</w:t>
      </w:r>
      <w:r w:rsidR="00294041">
        <w:t xml:space="preserve"> and must be defined in the </w:t>
      </w:r>
      <w:r w:rsidR="00294041">
        <w:rPr>
          <w:i/>
        </w:rPr>
        <w:t xml:space="preserve">Boundary </w:t>
      </w:r>
      <w:r w:rsidR="00294041">
        <w:t>section of the FEBio input file</w:t>
      </w:r>
      <w:r>
        <w:t>. For example,</w:t>
      </w:r>
    </w:p>
    <w:p w:rsidR="00BF6DA2" w:rsidRDefault="00BF6DA2" w:rsidP="00BF6DA2">
      <w:pPr>
        <w:pStyle w:val="code"/>
      </w:pPr>
      <w:r>
        <w:t xml:space="preserve">&lt;prescribe </w:t>
      </w:r>
      <w:proofErr w:type="spellStart"/>
      <w:proofErr w:type="gramStart"/>
      <w:r>
        <w:t>bc</w:t>
      </w:r>
      <w:proofErr w:type="spellEnd"/>
      <w:proofErr w:type="gramEnd"/>
      <w:r>
        <w:t xml:space="preserve">="T" </w:t>
      </w:r>
      <w:proofErr w:type="spellStart"/>
      <w:r>
        <w:t>node_set</w:t>
      </w:r>
      <w:proofErr w:type="spellEnd"/>
      <w:r>
        <w:t>="PrescribedBC1"&gt;</w:t>
      </w:r>
    </w:p>
    <w:p w:rsidR="00BF6DA2" w:rsidRDefault="00BF6DA2" w:rsidP="00BF6DA2">
      <w:pPr>
        <w:pStyle w:val="code"/>
      </w:pPr>
      <w:r>
        <w:tab/>
        <w:t xml:space="preserve">&lt;scale </w:t>
      </w:r>
      <w:proofErr w:type="spellStart"/>
      <w:r>
        <w:t>lc</w:t>
      </w:r>
      <w:proofErr w:type="spellEnd"/>
      <w:r>
        <w:t>="1"&gt;1.0&lt;/scale&gt;</w:t>
      </w:r>
    </w:p>
    <w:p w:rsidR="00BF6DA2" w:rsidRDefault="00BF6DA2" w:rsidP="00BF6DA2">
      <w:pPr>
        <w:pStyle w:val="code"/>
      </w:pPr>
      <w:r>
        <w:lastRenderedPageBreak/>
        <w:tab/>
        <w:t>&lt;</w:t>
      </w:r>
      <w:proofErr w:type="gramStart"/>
      <w:r>
        <w:t>relative&gt;</w:t>
      </w:r>
      <w:proofErr w:type="gramEnd"/>
      <w:r>
        <w:t>0&lt;/relative&gt;</w:t>
      </w:r>
    </w:p>
    <w:p w:rsidR="00BF6DA2" w:rsidRDefault="00BF6DA2" w:rsidP="00BF6DA2">
      <w:pPr>
        <w:pStyle w:val="code"/>
      </w:pPr>
      <w:r>
        <w:t>&lt;/prescribe&gt;</w:t>
      </w:r>
    </w:p>
    <w:p w:rsidR="00BF6DA2" w:rsidRDefault="00294041" w:rsidP="00294041">
      <w:pPr>
        <w:pStyle w:val="Heading2"/>
      </w:pPr>
      <w:bookmarkStart w:id="6" w:name="_Toc522030317"/>
      <w:r>
        <w:t>Heat flux</w:t>
      </w:r>
      <w:bookmarkEnd w:id="6"/>
    </w:p>
    <w:p w:rsidR="00294041" w:rsidRDefault="00294041" w:rsidP="00294041">
      <w:pPr>
        <w:jc w:val="both"/>
      </w:pPr>
      <w:r>
        <w:t xml:space="preserve">The heat flux surface load prescribes the heat flux on a surface of the mesh. It is defined as a </w:t>
      </w:r>
      <w:proofErr w:type="spellStart"/>
      <w:r>
        <w:rPr>
          <w:i/>
        </w:rPr>
        <w:t>surface_load</w:t>
      </w:r>
      <w:proofErr w:type="spellEnd"/>
      <w:r>
        <w:rPr>
          <w:i/>
        </w:rPr>
        <w:t xml:space="preserve"> </w:t>
      </w:r>
      <w:r>
        <w:t>with the type attribute set to “</w:t>
      </w:r>
      <w:proofErr w:type="spellStart"/>
      <w:r>
        <w:t>heatflux</w:t>
      </w:r>
      <w:proofErr w:type="spellEnd"/>
      <w:r>
        <w:t xml:space="preserve">”. It takes a single parameter, namely “flux”, which specifies the value of the heat flux. </w:t>
      </w:r>
    </w:p>
    <w:p w:rsidR="00294041" w:rsidRDefault="00294041" w:rsidP="00294041">
      <w:pPr>
        <w:pStyle w:val="code"/>
      </w:pPr>
      <w:r>
        <w:t>&lt;</w:t>
      </w:r>
      <w:proofErr w:type="spellStart"/>
      <w:r>
        <w:t>surface_load</w:t>
      </w:r>
      <w:proofErr w:type="spellEnd"/>
      <w:r>
        <w:t xml:space="preserve"> type="</w:t>
      </w:r>
      <w:proofErr w:type="spellStart"/>
      <w:r>
        <w:t>heatflux</w:t>
      </w:r>
      <w:proofErr w:type="spellEnd"/>
      <w:r>
        <w:t>" surface="Surface01"&gt;</w:t>
      </w:r>
    </w:p>
    <w:p w:rsidR="00294041" w:rsidRDefault="00294041" w:rsidP="00294041">
      <w:pPr>
        <w:pStyle w:val="code"/>
      </w:pPr>
      <w:r>
        <w:tab/>
        <w:t xml:space="preserve">&lt;flux </w:t>
      </w:r>
      <w:proofErr w:type="spellStart"/>
      <w:r>
        <w:t>lc</w:t>
      </w:r>
      <w:proofErr w:type="spellEnd"/>
      <w:r>
        <w:t>="1"&gt;2.5&lt;/flux&gt;</w:t>
      </w:r>
    </w:p>
    <w:p w:rsidR="00294041" w:rsidRDefault="00294041" w:rsidP="00294041">
      <w:pPr>
        <w:pStyle w:val="code"/>
      </w:pPr>
      <w:r>
        <w:t>&lt;/</w:t>
      </w:r>
      <w:proofErr w:type="spellStart"/>
      <w:r>
        <w:t>surface_load</w:t>
      </w:r>
      <w:proofErr w:type="spellEnd"/>
      <w:r>
        <w:t>&gt;</w:t>
      </w:r>
    </w:p>
    <w:p w:rsidR="00294041" w:rsidRDefault="00294041" w:rsidP="00294041">
      <w:pPr>
        <w:pStyle w:val="Heading2"/>
      </w:pPr>
      <w:bookmarkStart w:id="7" w:name="_Toc522030318"/>
      <w:r>
        <w:t>Convective heat flux</w:t>
      </w:r>
      <w:bookmarkEnd w:id="7"/>
    </w:p>
    <w:p w:rsidR="00294041" w:rsidRDefault="00294041" w:rsidP="00294041">
      <w:pPr>
        <w:jc w:val="both"/>
      </w:pPr>
      <w:r>
        <w:t xml:space="preserve">A convective heat flux applies a flux boundary condition where the flux is proportional to the difference between the surface temperature </w:t>
      </w:r>
      <w:r w:rsidRPr="00294041">
        <w:rPr>
          <w:rFonts w:ascii="Times New Roman" w:hAnsi="Times New Roman" w:cs="Times New Roman"/>
          <w:i/>
        </w:rPr>
        <w:t>T</w:t>
      </w:r>
      <w:r>
        <w:t xml:space="preserve"> and the ambient temperature </w:t>
      </w:r>
      <w:r w:rsidRPr="00294041">
        <w:rPr>
          <w:rFonts w:ascii="Times New Roman" w:hAnsi="Times New Roman" w:cs="Times New Roman"/>
          <w:i/>
        </w:rPr>
        <w:t>T</w:t>
      </w:r>
      <w:r w:rsidRPr="00294041">
        <w:rPr>
          <w:rFonts w:ascii="Times New Roman" w:hAnsi="Times New Roman" w:cs="Times New Roman"/>
          <w:i/>
          <w:vertAlign w:val="subscript"/>
        </w:rPr>
        <w:t>0</w:t>
      </w:r>
      <w:r>
        <w:t xml:space="preserve">. </w:t>
      </w:r>
    </w:p>
    <w:p w:rsidR="00294041" w:rsidRDefault="00294041" w:rsidP="00294041">
      <w:pPr>
        <w:pStyle w:val="MTDisplayEquation"/>
      </w:pPr>
      <w:r>
        <w:tab/>
      </w:r>
      <w:r w:rsidRPr="00294041">
        <w:rPr>
          <w:position w:val="-14"/>
        </w:rPr>
        <w:object w:dxaOrig="1500" w:dyaOrig="400">
          <v:shape id="_x0000_i1026" type="#_x0000_t75" style="width:74.8pt;height:20.1pt" o:ole="">
            <v:imagedata r:id="rId10" o:title=""/>
          </v:shape>
          <o:OLEObject Type="Embed" ProgID="Equation.DSMT4" ShapeID="_x0000_i1026" DrawAspect="Content" ObjectID="_1595772206" r:id="rId1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2</w:instrText>
        </w:r>
      </w:fldSimple>
      <w:r>
        <w:instrText>)</w:instrText>
      </w:r>
      <w:r>
        <w:fldChar w:fldCharType="end"/>
      </w:r>
    </w:p>
    <w:p w:rsidR="00294041" w:rsidRDefault="00294041" w:rsidP="00294041">
      <w:pPr>
        <w:jc w:val="both"/>
      </w:pPr>
      <w:r>
        <w:t xml:space="preserve">This boundary load is defined as a </w:t>
      </w:r>
      <w:proofErr w:type="spellStart"/>
      <w:r>
        <w:rPr>
          <w:i/>
        </w:rPr>
        <w:t>surface_load</w:t>
      </w:r>
      <w:proofErr w:type="spellEnd"/>
      <w:r>
        <w:rPr>
          <w:i/>
        </w:rPr>
        <w:t xml:space="preserve"> </w:t>
      </w:r>
      <w:r w:rsidR="006C0A9C">
        <w:t>with the type attribute set to “</w:t>
      </w:r>
      <w:proofErr w:type="spellStart"/>
      <w:r w:rsidR="006C0A9C">
        <w:t>convective_heatflux</w:t>
      </w:r>
      <w:proofErr w:type="spellEnd"/>
      <w:r w:rsidR="006C0A9C">
        <w:t xml:space="preserve">” </w:t>
      </w:r>
      <w:r>
        <w:t xml:space="preserve">and requires two parameters. </w:t>
      </w:r>
    </w:p>
    <w:tbl>
      <w:tblPr>
        <w:tblStyle w:val="TableGrid"/>
        <w:tblW w:w="0" w:type="auto"/>
        <w:tblLook w:val="04A0" w:firstRow="1" w:lastRow="0" w:firstColumn="1" w:lastColumn="0" w:noHBand="0" w:noVBand="1"/>
      </w:tblPr>
      <w:tblGrid>
        <w:gridCol w:w="1525"/>
        <w:gridCol w:w="6390"/>
        <w:gridCol w:w="1435"/>
      </w:tblGrid>
      <w:tr w:rsidR="00294041" w:rsidTr="00294041">
        <w:tc>
          <w:tcPr>
            <w:tcW w:w="1525" w:type="dxa"/>
            <w:shd w:val="clear" w:color="auto" w:fill="DEEAF6" w:themeFill="accent1" w:themeFillTint="33"/>
          </w:tcPr>
          <w:p w:rsidR="00294041" w:rsidRDefault="00294041" w:rsidP="00294041">
            <w:pPr>
              <w:jc w:val="both"/>
            </w:pPr>
            <w:r>
              <w:t>parameter</w:t>
            </w:r>
          </w:p>
        </w:tc>
        <w:tc>
          <w:tcPr>
            <w:tcW w:w="6390" w:type="dxa"/>
            <w:shd w:val="clear" w:color="auto" w:fill="DEEAF6" w:themeFill="accent1" w:themeFillTint="33"/>
          </w:tcPr>
          <w:p w:rsidR="00294041" w:rsidRDefault="00294041" w:rsidP="00294041">
            <w:pPr>
              <w:jc w:val="both"/>
            </w:pPr>
            <w:r>
              <w:t>description</w:t>
            </w:r>
          </w:p>
        </w:tc>
        <w:tc>
          <w:tcPr>
            <w:tcW w:w="1435" w:type="dxa"/>
            <w:shd w:val="clear" w:color="auto" w:fill="DEEAF6" w:themeFill="accent1" w:themeFillTint="33"/>
          </w:tcPr>
          <w:p w:rsidR="00294041" w:rsidRDefault="00294041" w:rsidP="00294041">
            <w:pPr>
              <w:jc w:val="both"/>
            </w:pPr>
            <w:r>
              <w:t>units (SI)</w:t>
            </w:r>
          </w:p>
        </w:tc>
      </w:tr>
      <w:tr w:rsidR="00294041" w:rsidTr="00294041">
        <w:tc>
          <w:tcPr>
            <w:tcW w:w="1525" w:type="dxa"/>
          </w:tcPr>
          <w:p w:rsidR="00294041" w:rsidRDefault="00294041" w:rsidP="00294041">
            <w:pPr>
              <w:pStyle w:val="code"/>
            </w:pPr>
            <w:proofErr w:type="spellStart"/>
            <w:r>
              <w:t>hc</w:t>
            </w:r>
            <w:proofErr w:type="spellEnd"/>
          </w:p>
        </w:tc>
        <w:tc>
          <w:tcPr>
            <w:tcW w:w="6390" w:type="dxa"/>
          </w:tcPr>
          <w:p w:rsidR="00294041" w:rsidRDefault="00294041" w:rsidP="00294041">
            <w:pPr>
              <w:jc w:val="both"/>
            </w:pPr>
            <w:r>
              <w:t xml:space="preserve">The proportionality constant </w:t>
            </w:r>
            <w:r w:rsidRPr="00294041">
              <w:rPr>
                <w:position w:val="-12"/>
              </w:rPr>
              <w:object w:dxaOrig="260" w:dyaOrig="360">
                <v:shape id="_x0000_i1027" type="#_x0000_t75" style="width:13.1pt;height:18.25pt" o:ole="">
                  <v:imagedata r:id="rId12" o:title=""/>
                </v:shape>
                <o:OLEObject Type="Embed" ProgID="Equation.DSMT4" ShapeID="_x0000_i1027" DrawAspect="Content" ObjectID="_1595772207" r:id="rId13"/>
              </w:object>
            </w:r>
            <w:r>
              <w:t xml:space="preserve"> </w:t>
            </w:r>
          </w:p>
        </w:tc>
        <w:tc>
          <w:tcPr>
            <w:tcW w:w="1435" w:type="dxa"/>
          </w:tcPr>
          <w:p w:rsidR="00294041" w:rsidRPr="006C0A9C" w:rsidRDefault="006C0A9C" w:rsidP="00294041">
            <w:pPr>
              <w:jc w:val="both"/>
            </w:pPr>
            <w:r>
              <w:t>W/m</w:t>
            </w:r>
            <w:r w:rsidRPr="006C0A9C">
              <w:rPr>
                <w:vertAlign w:val="superscript"/>
              </w:rPr>
              <w:t>2</w:t>
            </w:r>
            <w:r>
              <w:t>.K</w:t>
            </w:r>
          </w:p>
        </w:tc>
      </w:tr>
      <w:tr w:rsidR="00294041" w:rsidTr="00294041">
        <w:tc>
          <w:tcPr>
            <w:tcW w:w="1525" w:type="dxa"/>
          </w:tcPr>
          <w:p w:rsidR="00294041" w:rsidRDefault="00294041" w:rsidP="00294041">
            <w:pPr>
              <w:pStyle w:val="code"/>
            </w:pPr>
            <w:r>
              <w:t>Ta</w:t>
            </w:r>
          </w:p>
        </w:tc>
        <w:tc>
          <w:tcPr>
            <w:tcW w:w="6390" w:type="dxa"/>
          </w:tcPr>
          <w:p w:rsidR="00294041" w:rsidRDefault="00294041" w:rsidP="00294041">
            <w:pPr>
              <w:jc w:val="both"/>
            </w:pPr>
            <w:r>
              <w:t>The ambient temperature</w:t>
            </w:r>
          </w:p>
        </w:tc>
        <w:tc>
          <w:tcPr>
            <w:tcW w:w="1435" w:type="dxa"/>
          </w:tcPr>
          <w:p w:rsidR="00294041" w:rsidRDefault="00294041" w:rsidP="00294041">
            <w:pPr>
              <w:jc w:val="both"/>
            </w:pPr>
            <w:r>
              <w:t>K</w:t>
            </w:r>
          </w:p>
        </w:tc>
      </w:tr>
    </w:tbl>
    <w:p w:rsidR="00294041" w:rsidRPr="00294041" w:rsidRDefault="00294041" w:rsidP="00294041">
      <w:pPr>
        <w:jc w:val="both"/>
      </w:pPr>
    </w:p>
    <w:p w:rsidR="00294041" w:rsidRDefault="006C0A9C" w:rsidP="00294041">
      <w:pPr>
        <w:jc w:val="both"/>
      </w:pPr>
      <w:r>
        <w:t xml:space="preserve">An example is given below. </w:t>
      </w:r>
    </w:p>
    <w:p w:rsidR="006C0A9C" w:rsidRDefault="006C0A9C" w:rsidP="006C0A9C">
      <w:pPr>
        <w:pStyle w:val="code"/>
      </w:pPr>
      <w:r>
        <w:t>&lt;</w:t>
      </w:r>
      <w:proofErr w:type="spellStart"/>
      <w:r>
        <w:t>surface_load</w:t>
      </w:r>
      <w:proofErr w:type="spellEnd"/>
      <w:r>
        <w:t xml:space="preserve"> type="</w:t>
      </w:r>
      <w:proofErr w:type="spellStart"/>
      <w:r>
        <w:t>convective_heatflux</w:t>
      </w:r>
      <w:proofErr w:type="spellEnd"/>
      <w:r>
        <w:t>" surface="Surface01"&gt;</w:t>
      </w:r>
    </w:p>
    <w:p w:rsidR="006C0A9C" w:rsidRDefault="006C0A9C" w:rsidP="006C0A9C">
      <w:pPr>
        <w:pStyle w:val="code"/>
      </w:pPr>
      <w:r>
        <w:tab/>
        <w:t>&lt;</w:t>
      </w:r>
      <w:proofErr w:type="spellStart"/>
      <w:proofErr w:type="gramStart"/>
      <w:r>
        <w:t>hc</w:t>
      </w:r>
      <w:proofErr w:type="spellEnd"/>
      <w:r>
        <w:t>&gt;</w:t>
      </w:r>
      <w:proofErr w:type="gramEnd"/>
      <w:r>
        <w:t>60.0&lt;/</w:t>
      </w:r>
      <w:proofErr w:type="spellStart"/>
      <w:r>
        <w:t>hc</w:t>
      </w:r>
      <w:proofErr w:type="spellEnd"/>
      <w:r>
        <w:t>&gt;</w:t>
      </w:r>
    </w:p>
    <w:p w:rsidR="006C0A9C" w:rsidRDefault="006C0A9C" w:rsidP="006C0A9C">
      <w:pPr>
        <w:pStyle w:val="code"/>
      </w:pPr>
      <w:r>
        <w:tab/>
        <w:t xml:space="preserve">&lt;Ta </w:t>
      </w:r>
      <w:proofErr w:type="spellStart"/>
      <w:r>
        <w:t>lc</w:t>
      </w:r>
      <w:proofErr w:type="spellEnd"/>
      <w:r>
        <w:t>="1"&gt;25&lt;/Ta&gt;</w:t>
      </w:r>
    </w:p>
    <w:p w:rsidR="006C0A9C" w:rsidRDefault="006C0A9C" w:rsidP="006C0A9C">
      <w:pPr>
        <w:pStyle w:val="code"/>
      </w:pPr>
      <w:r>
        <w:t>&lt;/</w:t>
      </w:r>
      <w:proofErr w:type="spellStart"/>
      <w:r>
        <w:t>surface_load</w:t>
      </w:r>
      <w:proofErr w:type="spellEnd"/>
      <w:r>
        <w:t>&gt;</w:t>
      </w:r>
    </w:p>
    <w:p w:rsidR="006C0A9C" w:rsidRDefault="0028332E" w:rsidP="0028332E">
      <w:pPr>
        <w:pStyle w:val="Heading1"/>
      </w:pPr>
      <w:bookmarkStart w:id="8" w:name="_Toc522030319"/>
      <w:r>
        <w:t>Heat source</w:t>
      </w:r>
      <w:bookmarkEnd w:id="8"/>
    </w:p>
    <w:p w:rsidR="0028332E" w:rsidRDefault="0028332E" w:rsidP="0028332E">
      <w:r>
        <w:t xml:space="preserve">A heat source can be added by defining a </w:t>
      </w:r>
      <w:proofErr w:type="spellStart"/>
      <w:r>
        <w:rPr>
          <w:i/>
        </w:rPr>
        <w:t>body_load</w:t>
      </w:r>
      <w:proofErr w:type="spellEnd"/>
      <w:r>
        <w:rPr>
          <w:i/>
        </w:rPr>
        <w:t xml:space="preserve"> </w:t>
      </w:r>
      <w:r>
        <w:t>with the type set to “</w:t>
      </w:r>
      <w:proofErr w:type="spellStart"/>
      <w:r>
        <w:t>heat_source</w:t>
      </w:r>
      <w:proofErr w:type="spellEnd"/>
      <w:r>
        <w:t xml:space="preserve">”. Only one parameter is required, “Q”, to define the heat source value. </w:t>
      </w:r>
    </w:p>
    <w:p w:rsidR="0028332E" w:rsidRDefault="0028332E" w:rsidP="0028332E">
      <w:pPr>
        <w:pStyle w:val="code"/>
      </w:pPr>
      <w:r>
        <w:t>&lt;</w:t>
      </w:r>
      <w:proofErr w:type="spellStart"/>
      <w:r>
        <w:t>body_load</w:t>
      </w:r>
      <w:proofErr w:type="spellEnd"/>
      <w:r>
        <w:t xml:space="preserve"> type="</w:t>
      </w:r>
      <w:proofErr w:type="spellStart"/>
      <w:r>
        <w:t>heat_source</w:t>
      </w:r>
      <w:proofErr w:type="spellEnd"/>
      <w:r>
        <w:t>"&gt;</w:t>
      </w:r>
    </w:p>
    <w:p w:rsidR="0028332E" w:rsidRDefault="0028332E" w:rsidP="0028332E">
      <w:pPr>
        <w:pStyle w:val="code"/>
      </w:pPr>
      <w:r>
        <w:tab/>
        <w:t xml:space="preserve">&lt;Q </w:t>
      </w:r>
      <w:proofErr w:type="spellStart"/>
      <w:r>
        <w:t>lc</w:t>
      </w:r>
      <w:proofErr w:type="spellEnd"/>
      <w:r>
        <w:t>="1"&gt;13.5&lt;/Q&gt;</w:t>
      </w:r>
    </w:p>
    <w:p w:rsidR="0028332E" w:rsidRDefault="0028332E" w:rsidP="0028332E">
      <w:pPr>
        <w:pStyle w:val="code"/>
      </w:pPr>
      <w:r>
        <w:t>&lt;/</w:t>
      </w:r>
      <w:proofErr w:type="spellStart"/>
      <w:r>
        <w:t>body_load</w:t>
      </w:r>
      <w:proofErr w:type="spellEnd"/>
      <w:r>
        <w:t>&gt;</w:t>
      </w:r>
    </w:p>
    <w:p w:rsidR="0028332E" w:rsidRDefault="0028332E" w:rsidP="0028332E">
      <w:pPr>
        <w:pStyle w:val="Heading1"/>
      </w:pPr>
      <w:bookmarkStart w:id="9" w:name="_Toc522030320"/>
      <w:r>
        <w:t>Output variables</w:t>
      </w:r>
      <w:bookmarkEnd w:id="9"/>
    </w:p>
    <w:p w:rsidR="0028332E" w:rsidRDefault="0028332E" w:rsidP="0028332E">
      <w:r>
        <w:t xml:space="preserve">The heat transfer plugin adds several output variables to both the plot file and the log file. </w:t>
      </w:r>
    </w:p>
    <w:p w:rsidR="0028332E" w:rsidRDefault="0028332E" w:rsidP="0028332E">
      <w:pPr>
        <w:pStyle w:val="Heading2"/>
      </w:pPr>
      <w:bookmarkStart w:id="10" w:name="_Toc522030321"/>
      <w:r>
        <w:t>Plot file variables</w:t>
      </w:r>
      <w:bookmarkEnd w:id="10"/>
    </w:p>
    <w:p w:rsidR="0028332E" w:rsidRDefault="0028332E" w:rsidP="0028332E">
      <w:r>
        <w:t xml:space="preserve">The following table shows a list of all new variables defined by the plugin. </w:t>
      </w:r>
    </w:p>
    <w:tbl>
      <w:tblPr>
        <w:tblStyle w:val="TableGrid"/>
        <w:tblW w:w="0" w:type="auto"/>
        <w:tblLook w:val="04A0" w:firstRow="1" w:lastRow="0" w:firstColumn="1" w:lastColumn="0" w:noHBand="0" w:noVBand="1"/>
      </w:tblPr>
      <w:tblGrid>
        <w:gridCol w:w="1435"/>
        <w:gridCol w:w="7915"/>
      </w:tblGrid>
      <w:tr w:rsidR="0028332E" w:rsidTr="0028332E">
        <w:tc>
          <w:tcPr>
            <w:tcW w:w="1435" w:type="dxa"/>
            <w:shd w:val="clear" w:color="auto" w:fill="DEEAF6" w:themeFill="accent1" w:themeFillTint="33"/>
          </w:tcPr>
          <w:p w:rsidR="0028332E" w:rsidRDefault="0028332E" w:rsidP="0028332E">
            <w:r>
              <w:t>variable</w:t>
            </w:r>
          </w:p>
        </w:tc>
        <w:tc>
          <w:tcPr>
            <w:tcW w:w="7915" w:type="dxa"/>
            <w:shd w:val="clear" w:color="auto" w:fill="DEEAF6" w:themeFill="accent1" w:themeFillTint="33"/>
          </w:tcPr>
          <w:p w:rsidR="0028332E" w:rsidRDefault="0028332E" w:rsidP="0028332E">
            <w:r>
              <w:t>description</w:t>
            </w:r>
          </w:p>
        </w:tc>
      </w:tr>
      <w:tr w:rsidR="0028332E" w:rsidTr="0028332E">
        <w:tc>
          <w:tcPr>
            <w:tcW w:w="1435" w:type="dxa"/>
          </w:tcPr>
          <w:p w:rsidR="0028332E" w:rsidRDefault="0028332E" w:rsidP="0028332E">
            <w:r>
              <w:t>temperature</w:t>
            </w:r>
          </w:p>
        </w:tc>
        <w:tc>
          <w:tcPr>
            <w:tcW w:w="7915" w:type="dxa"/>
          </w:tcPr>
          <w:p w:rsidR="0028332E" w:rsidRDefault="0028332E" w:rsidP="0028332E">
            <w:r>
              <w:t>The nodal temperature at the mesh nodes</w:t>
            </w:r>
          </w:p>
        </w:tc>
      </w:tr>
      <w:tr w:rsidR="0028332E" w:rsidTr="0028332E">
        <w:tc>
          <w:tcPr>
            <w:tcW w:w="1435" w:type="dxa"/>
          </w:tcPr>
          <w:p w:rsidR="0028332E" w:rsidRDefault="0028332E" w:rsidP="0028332E">
            <w:r>
              <w:lastRenderedPageBreak/>
              <w:t>heat flux</w:t>
            </w:r>
          </w:p>
        </w:tc>
        <w:tc>
          <w:tcPr>
            <w:tcW w:w="7915" w:type="dxa"/>
          </w:tcPr>
          <w:p w:rsidR="0028332E" w:rsidRDefault="0028332E" w:rsidP="0028332E">
            <w:r>
              <w:t xml:space="preserve">The average heat flux over each element. </w:t>
            </w:r>
          </w:p>
        </w:tc>
      </w:tr>
    </w:tbl>
    <w:p w:rsidR="0028332E" w:rsidRDefault="0028332E" w:rsidP="0028332E"/>
    <w:p w:rsidR="006C7494" w:rsidRDefault="006C7494" w:rsidP="006C7494">
      <w:pPr>
        <w:pStyle w:val="Heading2"/>
      </w:pPr>
      <w:bookmarkStart w:id="11" w:name="_Toc522030322"/>
      <w:r>
        <w:t>Log file variables</w:t>
      </w:r>
      <w:bookmarkEnd w:id="11"/>
    </w:p>
    <w:p w:rsidR="006C7494" w:rsidRDefault="006C7494" w:rsidP="006C7494">
      <w:r>
        <w:t>The following table shows a list a log file variables.</w:t>
      </w:r>
    </w:p>
    <w:tbl>
      <w:tblPr>
        <w:tblStyle w:val="TableGrid"/>
        <w:tblW w:w="0" w:type="auto"/>
        <w:tblLook w:val="04A0" w:firstRow="1" w:lastRow="0" w:firstColumn="1" w:lastColumn="0" w:noHBand="0" w:noVBand="1"/>
      </w:tblPr>
      <w:tblGrid>
        <w:gridCol w:w="1435"/>
        <w:gridCol w:w="6300"/>
        <w:gridCol w:w="1615"/>
      </w:tblGrid>
      <w:tr w:rsidR="006C7494" w:rsidTr="006C7494">
        <w:tc>
          <w:tcPr>
            <w:tcW w:w="1435" w:type="dxa"/>
            <w:shd w:val="clear" w:color="auto" w:fill="DEEAF6" w:themeFill="accent1" w:themeFillTint="33"/>
          </w:tcPr>
          <w:p w:rsidR="006C7494" w:rsidRDefault="006C7494" w:rsidP="006C7494">
            <w:r>
              <w:t>variable</w:t>
            </w:r>
          </w:p>
        </w:tc>
        <w:tc>
          <w:tcPr>
            <w:tcW w:w="6300" w:type="dxa"/>
            <w:shd w:val="clear" w:color="auto" w:fill="DEEAF6" w:themeFill="accent1" w:themeFillTint="33"/>
          </w:tcPr>
          <w:p w:rsidR="006C7494" w:rsidRDefault="006C7494" w:rsidP="006C7494">
            <w:r>
              <w:t>description</w:t>
            </w:r>
          </w:p>
        </w:tc>
        <w:tc>
          <w:tcPr>
            <w:tcW w:w="1615" w:type="dxa"/>
            <w:shd w:val="clear" w:color="auto" w:fill="DEEAF6" w:themeFill="accent1" w:themeFillTint="33"/>
          </w:tcPr>
          <w:p w:rsidR="006C7494" w:rsidRDefault="006C7494" w:rsidP="006C7494">
            <w:r>
              <w:t>class</w:t>
            </w:r>
          </w:p>
        </w:tc>
      </w:tr>
      <w:tr w:rsidR="006C7494" w:rsidTr="006C7494">
        <w:tc>
          <w:tcPr>
            <w:tcW w:w="1435" w:type="dxa"/>
          </w:tcPr>
          <w:p w:rsidR="006C7494" w:rsidRDefault="006C7494" w:rsidP="006C7494">
            <w:r>
              <w:t>T</w:t>
            </w:r>
          </w:p>
        </w:tc>
        <w:tc>
          <w:tcPr>
            <w:tcW w:w="6300" w:type="dxa"/>
          </w:tcPr>
          <w:p w:rsidR="006C7494" w:rsidRDefault="006C7494" w:rsidP="006C7494">
            <w:r>
              <w:t>nodal temperature</w:t>
            </w:r>
          </w:p>
        </w:tc>
        <w:tc>
          <w:tcPr>
            <w:tcW w:w="1615" w:type="dxa"/>
          </w:tcPr>
          <w:p w:rsidR="006C7494" w:rsidRDefault="006C7494" w:rsidP="006C7494">
            <w:proofErr w:type="spellStart"/>
            <w:r>
              <w:t>node_data</w:t>
            </w:r>
            <w:proofErr w:type="spellEnd"/>
          </w:p>
        </w:tc>
      </w:tr>
    </w:tbl>
    <w:p w:rsidR="006C7494" w:rsidRPr="006C7494" w:rsidRDefault="006C7494" w:rsidP="006C7494"/>
    <w:p w:rsidR="0028332E" w:rsidRPr="0028332E" w:rsidRDefault="0028332E" w:rsidP="0028332E"/>
    <w:sectPr w:rsidR="0028332E" w:rsidRPr="0028332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14F1" w:rsidRDefault="009114F1" w:rsidP="006C7494">
      <w:pPr>
        <w:spacing w:after="0" w:line="240" w:lineRule="auto"/>
      </w:pPr>
      <w:r>
        <w:separator/>
      </w:r>
    </w:p>
  </w:endnote>
  <w:endnote w:type="continuationSeparator" w:id="0">
    <w:p w:rsidR="009114F1" w:rsidRDefault="009114F1" w:rsidP="006C7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14F1" w:rsidRDefault="009114F1" w:rsidP="006C7494">
      <w:pPr>
        <w:spacing w:after="0" w:line="240" w:lineRule="auto"/>
      </w:pPr>
      <w:r>
        <w:separator/>
      </w:r>
    </w:p>
  </w:footnote>
  <w:footnote w:type="continuationSeparator" w:id="0">
    <w:p w:rsidR="009114F1" w:rsidRDefault="009114F1" w:rsidP="006C74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0258868"/>
      <w:docPartObj>
        <w:docPartGallery w:val="Page Numbers (Top of Page)"/>
        <w:docPartUnique/>
      </w:docPartObj>
    </w:sdtPr>
    <w:sdtEndPr>
      <w:rPr>
        <w:noProof/>
      </w:rPr>
    </w:sdtEndPr>
    <w:sdtContent>
      <w:p w:rsidR="006C7494" w:rsidRDefault="006C7494">
        <w:pPr>
          <w:pStyle w:val="Header"/>
          <w:jc w:val="right"/>
        </w:pPr>
        <w:r>
          <w:fldChar w:fldCharType="begin"/>
        </w:r>
        <w:r>
          <w:instrText xml:space="preserve"> PAGE   \* MERGEFORMAT </w:instrText>
        </w:r>
        <w:r>
          <w:fldChar w:fldCharType="separate"/>
        </w:r>
        <w:r>
          <w:rPr>
            <w:noProof/>
          </w:rPr>
          <w:t>4</w:t>
        </w:r>
        <w:r>
          <w:rPr>
            <w:noProof/>
          </w:rPr>
          <w:fldChar w:fldCharType="end"/>
        </w:r>
      </w:p>
    </w:sdtContent>
  </w:sdt>
  <w:p w:rsidR="006C7494" w:rsidRDefault="006C74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BC62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587"/>
    <w:rsid w:val="000D55C3"/>
    <w:rsid w:val="00244F84"/>
    <w:rsid w:val="0028332E"/>
    <w:rsid w:val="00294041"/>
    <w:rsid w:val="00454A66"/>
    <w:rsid w:val="005D7E8C"/>
    <w:rsid w:val="006C0A9C"/>
    <w:rsid w:val="006C7494"/>
    <w:rsid w:val="00826503"/>
    <w:rsid w:val="009114F1"/>
    <w:rsid w:val="00AE6587"/>
    <w:rsid w:val="00BF6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2E7A8C-C02D-4EA0-8F58-8244F5168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4A66"/>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4A66"/>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54A6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54A6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54A6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54A6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54A6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54A6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54A6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4A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A6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54A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54A6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54A6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54A6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54A6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54A6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54A6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54A6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54A66"/>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5D7E8C"/>
    <w:pPr>
      <w:contextualSpacing/>
    </w:pPr>
    <w:rPr>
      <w:rFonts w:ascii="Courier New" w:hAnsi="Courier New" w:cs="Courier New"/>
      <w:sz w:val="20"/>
      <w:szCs w:val="20"/>
    </w:rPr>
  </w:style>
  <w:style w:type="character" w:customStyle="1" w:styleId="MTEquationSection">
    <w:name w:val="MTEquationSection"/>
    <w:basedOn w:val="DefaultParagraphFont"/>
    <w:rsid w:val="00454A66"/>
    <w:rPr>
      <w:vanish/>
      <w:color w:val="FF0000"/>
    </w:rPr>
  </w:style>
  <w:style w:type="character" w:customStyle="1" w:styleId="codeChar">
    <w:name w:val="code Char"/>
    <w:basedOn w:val="DefaultParagraphFont"/>
    <w:link w:val="code"/>
    <w:rsid w:val="005D7E8C"/>
    <w:rPr>
      <w:rFonts w:ascii="Courier New" w:hAnsi="Courier New" w:cs="Courier New"/>
      <w:sz w:val="20"/>
      <w:szCs w:val="20"/>
    </w:rPr>
  </w:style>
  <w:style w:type="paragraph" w:customStyle="1" w:styleId="MTDisplayEquation">
    <w:name w:val="MTDisplayEquation"/>
    <w:basedOn w:val="Normal"/>
    <w:next w:val="Normal"/>
    <w:link w:val="MTDisplayEquationChar"/>
    <w:rsid w:val="00454A66"/>
    <w:pPr>
      <w:tabs>
        <w:tab w:val="center" w:pos="4680"/>
        <w:tab w:val="right" w:pos="9360"/>
      </w:tabs>
    </w:pPr>
  </w:style>
  <w:style w:type="character" w:customStyle="1" w:styleId="MTDisplayEquationChar">
    <w:name w:val="MTDisplayEquation Char"/>
    <w:basedOn w:val="DefaultParagraphFont"/>
    <w:link w:val="MTDisplayEquation"/>
    <w:rsid w:val="00454A66"/>
  </w:style>
  <w:style w:type="table" w:styleId="TableGrid">
    <w:name w:val="Table Grid"/>
    <w:basedOn w:val="TableNormal"/>
    <w:uiPriority w:val="39"/>
    <w:rsid w:val="00454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7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7494"/>
  </w:style>
  <w:style w:type="paragraph" w:styleId="Footer">
    <w:name w:val="footer"/>
    <w:basedOn w:val="Normal"/>
    <w:link w:val="FooterChar"/>
    <w:uiPriority w:val="99"/>
    <w:unhideWhenUsed/>
    <w:rsid w:val="006C7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7494"/>
  </w:style>
  <w:style w:type="paragraph" w:styleId="TOCHeading">
    <w:name w:val="TOC Heading"/>
    <w:basedOn w:val="Heading1"/>
    <w:next w:val="Normal"/>
    <w:uiPriority w:val="39"/>
    <w:unhideWhenUsed/>
    <w:qFormat/>
    <w:rsid w:val="006C7494"/>
    <w:pPr>
      <w:numPr>
        <w:numId w:val="0"/>
      </w:numPr>
      <w:outlineLvl w:val="9"/>
    </w:pPr>
  </w:style>
  <w:style w:type="paragraph" w:styleId="TOC1">
    <w:name w:val="toc 1"/>
    <w:basedOn w:val="Normal"/>
    <w:next w:val="Normal"/>
    <w:autoRedefine/>
    <w:uiPriority w:val="39"/>
    <w:unhideWhenUsed/>
    <w:rsid w:val="006C7494"/>
    <w:pPr>
      <w:spacing w:after="100"/>
    </w:pPr>
  </w:style>
  <w:style w:type="paragraph" w:styleId="TOC2">
    <w:name w:val="toc 2"/>
    <w:basedOn w:val="Normal"/>
    <w:next w:val="Normal"/>
    <w:autoRedefine/>
    <w:uiPriority w:val="39"/>
    <w:unhideWhenUsed/>
    <w:rsid w:val="006C7494"/>
    <w:pPr>
      <w:spacing w:after="100"/>
      <w:ind w:left="220"/>
    </w:pPr>
  </w:style>
  <w:style w:type="character" w:styleId="Hyperlink">
    <w:name w:val="Hyperlink"/>
    <w:basedOn w:val="DefaultParagraphFont"/>
    <w:uiPriority w:val="99"/>
    <w:unhideWhenUsed/>
    <w:rsid w:val="006C74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C10DB36-75FF-453D-8217-77AB3A86D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4</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maas</dc:creator>
  <cp:keywords/>
  <dc:description/>
  <cp:lastModifiedBy>steve maas</cp:lastModifiedBy>
  <cp:revision>5</cp:revision>
  <dcterms:created xsi:type="dcterms:W3CDTF">2018-08-14T18:36:00Z</dcterms:created>
  <dcterms:modified xsi:type="dcterms:W3CDTF">2018-08-14T23:16:00Z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