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Ch 1: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w:t>
      </w:r>
      <w:r>
        <w:rPr>
          <w:rFonts w:eastAsia="Cambria" w:cs="" w:ascii="Cambria" w:hAnsi="Cambria" w:asciiTheme="minorHAnsi" w:cstheme="minorBidi" w:eastAsiaTheme="minorHAnsi" w:hAnsiTheme="minorHAnsi"/>
          <w:shd w:fill="D4EA6B" w:val="clear"/>
        </w:rPr>
        <w:t>,</w:t>
      </w:r>
      <w:r>
        <w:rPr/>
        <w:t xml:space="preserve">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r>
        <w:rPr>
          <w:rFonts w:eastAsia="Cambria" w:cs="" w:ascii="Cambria" w:hAnsi="Cambria" w:asciiTheme="minorHAnsi" w:cstheme="minorBidi" w:eastAsiaTheme="minorHAnsi" w:hAnsiTheme="minorHAnsi"/>
          <w:shd w:fill="D4EA6B" w:val="clear"/>
        </w:rPr>
        <w:t xml:space="preserve">Probablemente no exista una expresión más precisa para definir la obra de Rodríguez como decir que saca de las casillas a quien la interpreta, o sencillamente que se sale de las casillas. No solo los chismes y testimonios de terceros como el del “banquete”, de distintas maneras, a lo largo del tiempo, difícil de encasillar en el tiempo heroico, pomposo y neocolonial de la post-guerra de Independencia. También --y sobre todo-- su obra impresa ha sido difícil de encasillar en esta secuencia. </w:t>
      </w:r>
      <w:r>
        <w:rPr/>
        <w:t xml:space="preserve">De hecho, en dos obras clásicas de la historiografía cultural latinoamericana, Simón Rodríguez ha sido identificado como un caso límite, que los autores emplean como una suerte de contra-modelo a partir del cual han elaborado las pautas críticas para analizar el conjunto, no solo del período, sino de la tradición latinoamericana. Me refiero a </w:t>
      </w:r>
      <w:r>
        <w:rPr>
          <w:i/>
          <w:iCs/>
        </w:rPr>
        <w:t>La expresión Americana</w:t>
      </w:r>
      <w:r>
        <w:rPr/>
        <w:t xml:space="preserve">, de José Lezama Lima, y </w:t>
      </w:r>
      <w:r>
        <w:rPr>
          <w:i/>
          <w:iCs/>
        </w:rPr>
        <w:t>La ciudad letrada</w:t>
      </w:r>
      <w:r>
        <w:rPr/>
        <w:t xml:space="preserve">, de Ángel Rama. En la primera, como indican Ulloa and Ulloa, la “última decisión de Rodriguez de pasar sus últimos años en el centro de la cultura inca es crucial para el entendimiento del diseño lezamalimeno de la expresión america” (pp). Y en </w:t>
      </w:r>
      <w:r>
        <w:rPr>
          <w:i/>
          <w:iCs/>
        </w:rPr>
        <w:t>La ciudad</w:t>
      </w:r>
      <w:r>
        <w:rPr/>
        <w:t>, Rama toma la obra de Rodríguez como modelo e inspiración “para su análisis de la formación del estamento letrado americano, la denuncia de su carácter reaccionario y la crítica de su monopolio de la narración y la representación” (Rawicz and Mondragón pp)</w:t>
      </w:r>
      <w:r>
        <w:rPr>
          <w:rFonts w:eastAsia="Cambria" w:cs="" w:ascii="Cambria" w:hAnsi="Cambria" w:asciiTheme="minorHAnsi" w:cstheme="minorBidi" w:eastAsiaTheme="minorHAnsi" w:hAnsiTheme="minorHAnsi"/>
          <w:shd w:fill="D4EA6B" w:val="clear"/>
        </w:rPr>
        <w:t xml:space="preserve">. </w:t>
      </w:r>
    </w:p>
    <w:p>
      <w:pPr>
        <w:pStyle w:val="FirstParagraph"/>
        <w:rPr/>
      </w:pPr>
      <w:r>
        <w:rPr/>
        <w:t xml:space="preserve">Una obra más reciente, </w:t>
      </w:r>
      <w:r>
        <w:rPr>
          <w:i/>
          <w:iCs/>
        </w:rPr>
        <w:t>Didatics of Liberation</w:t>
      </w:r>
      <w:r>
        <w:rPr/>
        <w:t>, del artista uruguayo Luis Camnitzer (</w:t>
      </w:r>
      <w:r>
        <w:rPr>
          <w:i/>
          <w:iCs/>
        </w:rPr>
        <w:t>Conceptualism in Latin American art</w:t>
      </w:r>
      <w:r>
        <w:rPr/>
        <w:t>), define a Rodríguez en el curioso lugar de fundador de la tradición de conceptualismo artístico latinoamericano. Buscando un marco referencial “propio”, Camnitzer (</w:t>
      </w:r>
      <w:r>
        <w:rPr>
          <w:i/>
          <w:iCs/>
        </w:rPr>
        <w:t>Conceptualism in Latin American art</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 A partir de ese heterodoxo modelo de análisis, Camnitzer (</w:t>
      </w:r>
      <w:r>
        <w:rPr>
          <w:i/>
          <w:iCs/>
        </w:rPr>
        <w:t>Conceptualism in Latin American art</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w:t>
      </w:r>
      <w:r>
        <w:rPr>
          <w:rFonts w:eastAsia="Cambria" w:cs="" w:ascii="Cambria" w:hAnsi="Cambria" w:asciiTheme="minorHAnsi" w:cstheme="minorBidi" w:eastAsiaTheme="minorHAnsi" w:hAnsiTheme="minorHAnsi"/>
          <w:shd w:fill="D4EA6B" w:val="clear"/>
        </w:rPr>
        <w:t xml:space="preserve">. </w:t>
      </w:r>
    </w:p>
    <w:p>
      <w:pPr>
        <w:pStyle w:val="FirstParagraph"/>
        <w:rPr/>
      </w:pPr>
      <w:r>
        <w:rPr/>
        <w:t xml:space="preserve">Aunque compatible con otros análisis críticos más rigurosos de la obra de Rodríguez, el planteamiento de Camnitzer no obedece ni pretende obedecer a un análisis metodológicamente fundamentado,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r>
        <w:rPr/>
        <w:t xml:space="preserve">. Sin embargo, la provocación que supone esta singular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del arte y la literatura mundiales. </w:t>
      </w:r>
      <w:r>
        <w:rPr>
          <w:rFonts w:eastAsia="Cambria" w:cs="" w:ascii="Cambria" w:hAnsi="Cambria" w:asciiTheme="minorHAnsi" w:cstheme="minorBidi" w:eastAsiaTheme="minorHAnsi" w:hAnsiTheme="minorHAnsi"/>
          <w:shd w:fill="FFFF00" w:val="clear"/>
        </w:rPr>
        <w:t>Este rasgo discrónico, que aparece a primera vista, es uno de los efectos de lo que Rodríguez llamó “arte de pintar palabras”: la técnica de variar, distribuir y organizar los tipos móviles y llaves sobre las planchas de imprimir que postuló como una manera de “pintar los pensamientos”.</w:t>
      </w:r>
      <w:r>
        <w:rPr/>
        <w:t xml:space="preserve"> Esta técnica se imprime en una obra que se asemeja formalmente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[figuras]</w:t>
      </w:r>
      <w:r>
        <w:rPr>
          <w:rFonts w:eastAsia="Cambria" w:cs="" w:ascii="Cambria" w:hAnsi="Cambria" w:asciiTheme="minorHAnsi" w:cstheme="minorBidi" w:eastAsiaTheme="minorHAnsi" w:hAnsiTheme="minorHAnsi"/>
          <w:shd w:fill="D4EA6B" w:val="clear"/>
        </w:rPr>
        <w:t xml:space="preserve">. </w:t>
      </w:r>
    </w:p>
    <w:p>
      <w:pPr>
        <w:pStyle w:val="TextBody"/>
        <w:rPr/>
      </w:pPr>
      <w:r>
        <w:rPr/>
        <w:t>[figura: comparativa de Rodríguez con los hitos de experimentación plástica impresa del modernismo global, indicando el lugar y la fecha de cada una de las piezas]</w:t>
      </w:r>
    </w:p>
    <w:p>
      <w:pPr>
        <w:pStyle w:val="TextBody"/>
        <w:rPr/>
      </w:pPr>
      <w:r>
        <w:rPr/>
        <w:t xml:space="preserve">Es decir, Camnitzer no hace más que introducir una narración oral de Rodríguez en la misma comparación discrónica que su obra escrita ha motivado en la tradición crítica, al menos desde la década de 1980 </w:t>
      </w:r>
      <w:r>
        <w:rPr/>
        <w:t>[mencionar a Schwarz, Castillo Zapata, Rama, Miliani, y laterlamente a Lezama Lima con su analogía con Blake]</w:t>
      </w:r>
      <w:r>
        <w:rPr/>
        <w:t>. Claro que, como veremos, la analogía de Rodríguez con los vanguardistas de la imprenta del siglo XX no está tampoco exenta de problemas, y requiere varias precisiones, que abordaré en la tercera sección de este capítulo. Primero quiero detenerme en el problema que se hace evidente cuando contrastamos la provocación de Camnitzer con el lugar que ocupa Simón Rodríguez en los medios de difusión y en la conversación intelectual global actual: por muy desencasillante e irreverente que resulte la narración de los orinales y el vanguardismo de Rodríguez en el arte de imprimir, su figura y su obra pertenecen a la iconografía nacionalista, a los epónimos y efemérides, al culto heroico, y a las discusiones pedagógicas, políticas, sociales, y en menor medida, de la historiografía cultural y culturalista latinoamericana especializada en el siglo XIX. La provocación de Camnitzer lo quiere incorporar de golpe –de compota-salpicón-- en la conversación sobre el arte de vanguardia en general, y el arte conceptual en particular. Lo que me propongo en este capítulo es precisar algunas de las resistencias que la obra de Rodríguez opondría a esa incorporación. A partir de estas resistencias, propongo una lectura artística de la obra de Rodríguez que no soluciona las tensiones entre esta y la continuidad lineal de la historia –sea del arte o de los héroes americanos--, sino que profundiza en la discronía que su obra opone, vitriólicamente, a la noción dominante de progreso en los centros globales de poder, pero también a las nociones dominantes de oposición al progreso.</w:t>
      </w:r>
    </w:p>
    <w:p>
      <w:pPr>
        <w:pStyle w:val="Heading2"/>
        <w:rPr/>
      </w:pPr>
      <w:r>
        <w:rPr/>
        <w:t>1. Un torrente “loco” entre la máscara heroica</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El “arte de pintar palabras” es la técnica que acerca a Rodríguez a algunos hitos de las “vanguardias históricas” en el arte de imprimir. Pero lo que le permitió circular a estos textos más allá del muy restringido ámbito que le permirtían sus propios medios, no fue un interés artístico sino político y militar, dada su relación con Simón Bolívar. De Bolívar, Rodríguez fue maestro de primeras letras y tutor en la infancia; amigo, mentor filosófico, compañero de viajes, y --según un documento cuestionado pero disponible </w:t>
      </w:r>
      <w:r>
        <w:rPr>
          <w:rStyle w:val="FootnoteAnchor"/>
          <w:rFonts w:eastAsia="Cambria" w:cs="" w:ascii="Cambria" w:hAnsi="Cambria" w:asciiTheme="minorHAnsi" w:cstheme="minorBidi" w:eastAsiaTheme="minorHAnsi" w:hAnsiTheme="minorHAnsi"/>
          <w:shd w:fill="D4EA6B" w:val="clear"/>
        </w:rPr>
        <w:footnoteReference w:id="4"/>
      </w:r>
      <w:r>
        <w:rPr>
          <w:rFonts w:eastAsia="Cambria" w:cs="" w:ascii="Cambria" w:hAnsi="Cambria" w:asciiTheme="minorHAnsi" w:cstheme="minorBidi" w:eastAsiaTheme="minorHAnsi" w:hAnsiTheme="minorHAnsi"/>
          <w:shd w:fill="D4EA6B" w:val="clear"/>
        </w:rPr>
        <w:t xml:space="preserve">-- albacea y </w:t>
      </w:r>
      <w:r>
        <w:rPr>
          <w:rFonts w:eastAsia="Cambria" w:cs="" w:ascii="Cambria" w:hAnsi="Cambria" w:asciiTheme="minorHAnsi" w:cstheme="minorBidi" w:eastAsiaTheme="minorHAnsi" w:hAnsiTheme="minorHAnsi"/>
          <w:i/>
          <w:iCs/>
          <w:shd w:fill="D4EA6B" w:val="clear"/>
        </w:rPr>
        <w:t>coach</w:t>
      </w:r>
      <w:r>
        <w:rPr>
          <w:rFonts w:eastAsia="Cambria" w:cs="" w:ascii="Cambria" w:hAnsi="Cambria" w:asciiTheme="minorHAnsi" w:cstheme="minorBidi" w:eastAsiaTheme="minorHAnsi" w:hAnsiTheme="minorHAnsi"/>
          <w:shd w:fill="D4EA6B" w:val="clear"/>
        </w:rPr>
        <w:t xml:space="preserve"> motivacional en la primera juventud; y durante un breve período --en el que Rodríguez se convirtió en una de las personas más poderosas del Alto Perú-- algo así como su “mano”, en el sentido que alguien es “mano del rey”. El episodio de los orinales fuera de lugar ocurre precisamente al final de ese período, a principios de 1826, cuando Bolívar abandonó Bolivia y dejó a Sucre designado como presidente. Las circunstancias  en que se dio la relación entre Bolívar y Rodríguez en Bolivia, y las </w:t>
      </w:r>
      <w:r>
        <w:rPr>
          <w:rFonts w:eastAsia="Cambria" w:cs="" w:ascii="Cambria" w:hAnsi="Cambria" w:asciiTheme="minorHAnsi" w:cstheme="minorBidi" w:eastAsiaTheme="minorHAnsi" w:hAnsiTheme="minorHAnsi"/>
          <w:shd w:fill="D4EA6B" w:val="clear"/>
        </w:rPr>
        <w:t>circunstancias</w:t>
      </w:r>
      <w:r>
        <w:rPr>
          <w:rFonts w:eastAsia="Cambria" w:cs="" w:ascii="Cambria" w:hAnsi="Cambria" w:asciiTheme="minorHAnsi" w:cstheme="minorBidi" w:eastAsiaTheme="minorHAnsi" w:hAnsiTheme="minorHAnsi"/>
          <w:shd w:fill="D4EA6B" w:val="clear"/>
        </w:rPr>
        <w:t xml:space="preserve"> concretas en que Rodríguez adquirió ese poder --y cómo lo perdió-- las iré detallando, especialmente en los capítulos 2 y 4. Ahora lo que me interesa es detenerme en un aspecto señalado en la crónica de Lastarria, que ofrece una clave para definir la relación entre la </w:t>
      </w:r>
      <w:r>
        <w:rPr>
          <w:rFonts w:eastAsia="Cambria" w:cs="" w:ascii="Cambria" w:hAnsi="Cambria" w:asciiTheme="minorHAnsi" w:cstheme="minorBidi" w:eastAsiaTheme="minorHAnsi" w:hAnsiTheme="minorHAnsi"/>
          <w:shd w:fill="FFFF00" w:val="clear"/>
        </w:rPr>
        <w:t xml:space="preserve">trama artística y literaria, y la trama heroica –política y militar-- que envuelve la figura de Simón Rodríguez y atraviesa su obra.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Lastarria es el primero y uno de los pocos en señalar con claridad el parentesco entre el “arte de pintar palabras” –lo que “el reformador enseñaba a pintar en la escritura”--y las habilidades de Rodríguez como narrador oral: &lt;&lt;Namely&gt;&gt;, el “énfasis i aquellas entonaciones elegantes” mediante las que Rodríguez le narra a Bello del “banquete” de La Paz para llevarlo hasta “fuera de sus casillas”.  </w:t>
      </w:r>
      <w:r>
        <w:rPr>
          <w:rFonts w:eastAsia="Cambria" w:cs="" w:ascii="Cambria" w:hAnsi="Cambria" w:asciiTheme="minorHAnsi" w:cstheme="minorBidi" w:eastAsiaTheme="minorHAnsi" w:hAnsiTheme="minorHAnsi"/>
          <w:shd w:fill="D4EA6B" w:val="clear"/>
        </w:rPr>
        <w:t>La</w:t>
      </w:r>
      <w:r>
        <w:rPr>
          <w:rFonts w:eastAsia="Cambria" w:cs="" w:ascii="Cambria" w:hAnsi="Cambria" w:asciiTheme="minorHAnsi" w:cstheme="minorBidi" w:eastAsiaTheme="minorHAnsi" w:hAnsiTheme="minorHAnsi"/>
          <w:shd w:fill="D4EA6B" w:val="clear"/>
        </w:rPr>
        <w:t xml:space="preserve"> comparación </w:t>
      </w:r>
      <w:r>
        <w:rPr>
          <w:rFonts w:eastAsia="Cambria" w:cs="" w:ascii="Cambria" w:hAnsi="Cambria" w:asciiTheme="minorHAnsi" w:cstheme="minorBidi" w:eastAsiaTheme="minorHAnsi" w:hAnsiTheme="minorHAnsi"/>
          <w:shd w:fill="D4EA6B" w:val="clear"/>
        </w:rPr>
        <w:t xml:space="preserve">de Lastarria </w:t>
      </w:r>
      <w:r>
        <w:rPr>
          <w:rFonts w:eastAsia="Cambria" w:cs="" w:ascii="Cambria" w:hAnsi="Cambria" w:asciiTheme="minorHAnsi" w:cstheme="minorBidi" w:eastAsiaTheme="minorHAnsi" w:hAnsiTheme="minorHAnsi"/>
          <w:shd w:fill="D4EA6B" w:val="clear"/>
        </w:rPr>
        <w:t>propone, esencialmente, un rasgo en común entre la serie trazada por el Rodríguez narrador oral y serie la trazada por el Rodríguez escritor impreso. Una homología que se sostiene, además, en los principios sobre comunicación, arte y pedagogía en la obra de Rodríguez, pues él establecía una relación de dependencia y mutua determinación entre la forma de sus textos y el modo como los imaginaba escenificados –aunque no eran textos dramáticos sino filosóficos y polémicos</w:t>
      </w:r>
      <w:r>
        <w:rPr>
          <w:rFonts w:eastAsia="Cambria" w:cs="" w:ascii="Cambria" w:hAnsi="Cambria" w:asciiTheme="minorHAnsi" w:cstheme="minorBidi" w:eastAsiaTheme="minorHAnsi" w:hAnsiTheme="minorHAnsi"/>
          <w:shd w:fill="D4EA6B" w:val="clear"/>
        </w:rPr>
        <w:t>[nota: anuncio de tratamiento detallado de estos aspectos en los capítulos 2 y 3]</w:t>
      </w:r>
      <w:r>
        <w:rPr>
          <w:rFonts w:eastAsia="Cambria" w:cs="" w:ascii="Cambria" w:hAnsi="Cambria" w:asciiTheme="minorHAnsi" w:cstheme="minorBidi" w:eastAsiaTheme="minorHAnsi" w:hAnsiTheme="minorHAnsi"/>
          <w:shd w:fill="D4EA6B" w:val="clear"/>
        </w:rPr>
        <w:t xml:space="preserve">. Es decir, si bien las narraciones orales de Rodríguez no son escenificaciones de sus textos, una de las obsesiones de sus ensayos es subrayar la necesidad de encarnar los signos impresos en entonaciones y énfasis de la voz y del cuerpo. Así lo han demostrado numerosas lecturas críticas, especialmente a partir del trabajo de Rama [nota: mencionar a Pulgar, Briggs, Rotker, Velayos y los que consiga en la antología de los mexicanos]. Sin embargo, ninguno de estos autores se detiene a analizar la analogía y funcionamiento simultáneo, cómplice y complementario, de las técnicas del Rodríguez narrador oral y el Rodríguez filósofo emancipatorio y artista de la impresión.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Claro que las narraciones orales de Rodríguez no son, como “lo que el reformador enseñaba a pintar en la escritura”, plenamente verificables. El “arte de pintar palabras”, es analizable incluso en las versiones menos fidedignas a los originales, que conservan las variaciones en los estilos tipográficos, alineación y distribución de los espacios en blanco que la caracterizan [nota: sobre lo que observan Mondragón y compañía sobre las ediciones más o menos fidedignas]. </w:t>
      </w:r>
      <w:r>
        <w:rPr>
          <w:rFonts w:eastAsia="Cambria" w:cs="" w:ascii="Cambria" w:hAnsi="Cambria" w:asciiTheme="minorHAnsi" w:cstheme="minorBidi" w:eastAsiaTheme="minorHAnsi" w:hAnsiTheme="minorHAnsi"/>
          <w:shd w:fill="D4EA6B" w:val="clear"/>
        </w:rPr>
        <w:t>Emn cambio, e</w:t>
      </w:r>
      <w:r>
        <w:rPr>
          <w:rFonts w:eastAsia="Cambria" w:cs="" w:ascii="Cambria" w:hAnsi="Cambria" w:asciiTheme="minorHAnsi" w:cstheme="minorBidi" w:eastAsiaTheme="minorHAnsi" w:hAnsiTheme="minorHAnsi"/>
          <w:shd w:fill="D4EA6B" w:val="clear"/>
        </w:rPr>
        <w:t xml:space="preserve">e sus narraciones orales solo se conservan testimonios, de quienes incluso en algún caso no las observaron directamente –por ejemplo, ;;Lastarria reconoce que Bello y Rodríguez&lt;cita: estaban solos&gt;[pp]--, o la relataron mucho después que aconteció. Es decir, todo el despliegue de escenificación que relata Lastarria solo puede ser imaginado en un plano referencial y verificable a partir de esos pocos fragmentos, y de los principios que Rodríguez propone en su obra impresa sobre el rol de la prosodia, la gesticulación y las sensaciones para construir el sentido y persuadir. </w:t>
      </w:r>
      <w:r>
        <w:rPr>
          <w:rFonts w:eastAsia="Cambria" w:cs="" w:ascii="Cambria" w:hAnsi="Cambria" w:asciiTheme="minorHAnsi" w:cstheme="minorBidi" w:eastAsiaTheme="minorHAnsi" w:hAnsiTheme="minorHAnsi"/>
          <w:shd w:fill="D4EA6B" w:val="clear"/>
        </w:rPr>
        <w:t>Estos</w:t>
      </w:r>
      <w:r>
        <w:rPr>
          <w:rFonts w:eastAsia="Cambria" w:cs="" w:ascii="Cambria" w:hAnsi="Cambria" w:asciiTheme="minorHAnsi" w:cstheme="minorBidi" w:eastAsiaTheme="minorHAnsi" w:hAnsiTheme="minorHAnsi"/>
          <w:shd w:fill="D4EA6B" w:val="clear"/>
        </w:rPr>
        <w:t xml:space="preserve"> indicios </w:t>
      </w:r>
      <w:r>
        <w:rPr>
          <w:rFonts w:eastAsia="Cambria" w:cs="" w:ascii="Cambria" w:hAnsi="Cambria" w:asciiTheme="minorHAnsi" w:cstheme="minorBidi" w:eastAsiaTheme="minorHAnsi" w:hAnsiTheme="minorHAnsi"/>
          <w:shd w:fill="D4EA6B" w:val="clear"/>
        </w:rPr>
        <w:t xml:space="preserve">disponibles </w:t>
      </w:r>
      <w:r>
        <w:rPr>
          <w:rFonts w:eastAsia="Cambria" w:cs="" w:ascii="Cambria" w:hAnsi="Cambria" w:asciiTheme="minorHAnsi" w:cstheme="minorBidi" w:eastAsiaTheme="minorHAnsi" w:hAnsiTheme="minorHAnsi"/>
          <w:shd w:fill="D4EA6B" w:val="clear"/>
        </w:rPr>
        <w:t xml:space="preserve">sobre las técnicas y estrategias de las narraciones orales de Rodríguez </w:t>
      </w:r>
      <w:r>
        <w:rPr>
          <w:rFonts w:eastAsia="Cambria" w:cs="" w:ascii="Cambria" w:hAnsi="Cambria" w:asciiTheme="minorHAnsi" w:cstheme="minorBidi" w:eastAsiaTheme="minorHAnsi" w:hAnsiTheme="minorHAnsi"/>
          <w:shd w:fill="D4EA6B" w:val="clear"/>
        </w:rPr>
        <w:t xml:space="preserve">resultan escasos para reconstruirlas </w:t>
      </w:r>
      <w:r>
        <w:rPr>
          <w:rFonts w:eastAsia="Cambria" w:cs="" w:ascii="Cambria" w:hAnsi="Cambria" w:asciiTheme="minorHAnsi" w:cstheme="minorBidi" w:eastAsiaTheme="minorHAnsi" w:hAnsiTheme="minorHAnsi"/>
          <w:shd w:fill="D4EA6B" w:val="clear"/>
        </w:rPr>
        <w:t xml:space="preserve">en un sentido positivo y tangible. </w:t>
      </w:r>
      <w:r>
        <w:rPr>
          <w:rFonts w:eastAsia="Cambria" w:cs="" w:ascii="Cambria" w:hAnsi="Cambria" w:asciiTheme="minorHAnsi" w:cstheme="minorBidi" w:eastAsiaTheme="minorHAnsi" w:hAnsiTheme="minorHAnsi"/>
          <w:shd w:fill="D4EA6B" w:val="clear"/>
        </w:rPr>
        <w:t xml:space="preserve">Sin embargo, dicen mucho más cuando se trazan </w:t>
      </w:r>
      <w:r>
        <w:rPr>
          <w:rFonts w:eastAsia="Cambria" w:cs="" w:ascii="Cambria" w:hAnsi="Cambria" w:asciiTheme="minorHAnsi" w:cstheme="minorBidi" w:eastAsiaTheme="minorHAnsi" w:hAnsiTheme="minorHAnsi"/>
          <w:shd w:fill="D4EA6B" w:val="clear"/>
        </w:rPr>
        <w:t xml:space="preserve">los choques que, desde </w:t>
      </w:r>
      <w:r>
        <w:rPr>
          <w:rFonts w:eastAsia="Cambria" w:cs="" w:ascii="Cambria" w:hAnsi="Cambria" w:asciiTheme="minorHAnsi" w:cstheme="minorBidi" w:eastAsiaTheme="minorHAnsi" w:hAnsiTheme="minorHAnsi"/>
          <w:shd w:fill="D4EA6B" w:val="clear"/>
        </w:rPr>
        <w:t xml:space="preserve">su </w:t>
      </w:r>
      <w:r>
        <w:rPr>
          <w:rFonts w:eastAsia="Cambria" w:cs="" w:ascii="Cambria" w:hAnsi="Cambria" w:asciiTheme="minorHAnsi" w:cstheme="minorBidi" w:eastAsiaTheme="minorHAnsi" w:hAnsiTheme="minorHAnsi"/>
          <w:shd w:fill="D4EA6B" w:val="clear"/>
        </w:rPr>
        <w:t>primera entrada en circulación impresa,</w:t>
      </w:r>
      <w:r>
        <w:rPr>
          <w:rFonts w:eastAsia="Cambria" w:cs="" w:ascii="Cambria" w:hAnsi="Cambria" w:asciiTheme="minorHAnsi" w:cstheme="minorBidi" w:eastAsiaTheme="minorHAnsi" w:hAnsiTheme="minorHAnsi"/>
          <w:shd w:fill="D4EA6B" w:val="clear"/>
        </w:rPr>
        <w:t xml:space="preserve"> las </w:t>
      </w:r>
      <w:r>
        <w:rPr>
          <w:rFonts w:eastAsia="Cambria" w:cs="" w:ascii="Cambria" w:hAnsi="Cambria" w:asciiTheme="minorHAnsi" w:cstheme="minorBidi" w:eastAsiaTheme="minorHAnsi" w:hAnsiTheme="minorHAnsi"/>
          <w:shd w:fill="D4EA6B" w:val="clear"/>
        </w:rPr>
        <w:t xml:space="preserve">narraciones orales </w:t>
      </w:r>
      <w:r>
        <w:rPr>
          <w:rFonts w:eastAsia="Cambria" w:cs="" w:ascii="Cambria" w:hAnsi="Cambria" w:asciiTheme="minorHAnsi" w:cstheme="minorBidi" w:eastAsiaTheme="minorHAnsi" w:hAnsiTheme="minorHAnsi"/>
          <w:shd w:fill="D4EA6B" w:val="clear"/>
        </w:rPr>
        <w:t xml:space="preserve">de Rodríguez han escenificado </w:t>
      </w:r>
      <w:r>
        <w:rPr>
          <w:rFonts w:eastAsia="Cambria" w:cs="" w:ascii="Cambria" w:hAnsi="Cambria" w:asciiTheme="minorHAnsi" w:cstheme="minorBidi" w:eastAsiaTheme="minorHAnsi" w:hAnsiTheme="minorHAnsi"/>
          <w:shd w:fill="D4EA6B" w:val="clear"/>
        </w:rPr>
        <w:t>con</w:t>
      </w:r>
      <w:r>
        <w:rPr>
          <w:rFonts w:eastAsia="Cambria" w:cs="" w:ascii="Cambria" w:hAnsi="Cambria" w:asciiTheme="minorHAnsi" w:cstheme="minorBidi" w:eastAsiaTheme="minorHAnsi" w:hAnsiTheme="minorHAnsi"/>
          <w:shd w:fill="D4EA6B" w:val="clear"/>
        </w:rPr>
        <w:t>tra</w:t>
      </w:r>
      <w:r>
        <w:rPr>
          <w:rFonts w:eastAsia="Cambria" w:cs="" w:ascii="Cambria" w:hAnsi="Cambria" w:asciiTheme="minorHAnsi" w:cstheme="minorBidi" w:eastAsiaTheme="minorHAnsi" w:hAnsiTheme="minorHAnsi"/>
          <w:shd w:fill="D4EA6B" w:val="clear"/>
        </w:rPr>
        <w:t xml:space="preserve"> las tentativas de </w:t>
      </w:r>
      <w:r>
        <w:rPr>
          <w:rFonts w:eastAsia="Cambria" w:cs="" w:ascii="Cambria" w:hAnsi="Cambria" w:asciiTheme="minorHAnsi" w:cstheme="minorBidi" w:eastAsiaTheme="minorHAnsi" w:hAnsiTheme="minorHAnsi"/>
          <w:shd w:fill="D4EA6B" w:val="clear"/>
        </w:rPr>
        <w:t>recorte y</w:t>
      </w:r>
      <w:r>
        <w:rPr>
          <w:rFonts w:eastAsia="Cambria" w:cs="" w:ascii="Cambria" w:hAnsi="Cambria" w:asciiTheme="minorHAnsi" w:cstheme="minorBidi" w:eastAsiaTheme="minorHAnsi" w:hAnsiTheme="minorHAnsi"/>
          <w:shd w:fill="D4EA6B" w:val="clear"/>
        </w:rPr>
        <w:t xml:space="preserve"> encasillamiento </w:t>
      </w:r>
      <w:r>
        <w:rPr>
          <w:rFonts w:eastAsia="Cambria" w:cs="" w:ascii="Cambria" w:hAnsi="Cambria" w:asciiTheme="minorHAnsi" w:cstheme="minorBidi" w:eastAsiaTheme="minorHAnsi" w:hAnsiTheme="minorHAnsi"/>
          <w:shd w:fill="D4EA6B" w:val="clear"/>
        </w:rPr>
        <w:t xml:space="preserve">en las máquinas de signos </w:t>
      </w:r>
      <w:r>
        <w:rPr>
          <w:rFonts w:eastAsia="Cambria" w:cs="" w:ascii="Cambria" w:hAnsi="Cambria" w:asciiTheme="minorHAnsi" w:cstheme="minorBidi" w:eastAsiaTheme="minorHAnsi" w:hAnsiTheme="minorHAnsi"/>
          <w:shd w:fill="D4EA6B" w:val="clear"/>
        </w:rPr>
        <w:t>de la historia oficial.</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Estos choques han sido constantes porque una de las narraciones orales de Rodríguez se convirtió en un mito central para darle dimensión heroica a la gesta político-militar de la independencia y en el relato más importante del culto bolivariano. Me refiero al texto del “Juramento en el Monte Sacro”, que como veremos no es más que el fragmento editado de una narración oral de Simón Rodríguez. Al entrar en el mercado literario, ese texto se volvió uno de los grandes éxitos de la historia oficial, pero arrastró consigo a un testigo que no dejó –ni ha dejado-- de resultar incómodo, por las discontinuidades y excesos que atraviesan tanto su escritura como sus </w:t>
      </w:r>
      <w:r>
        <w:rPr>
          <w:rFonts w:eastAsia="Cambria" w:cs="" w:ascii="Cambria" w:hAnsi="Cambria" w:asciiTheme="minorHAnsi" w:cstheme="minorBidi" w:eastAsiaTheme="minorHAnsi" w:hAnsiTheme="minorHAnsi"/>
          <w:shd w:fill="D4EA6B" w:val="clear"/>
        </w:rPr>
        <w:t xml:space="preserve">otras </w:t>
      </w:r>
      <w:r>
        <w:rPr>
          <w:rFonts w:eastAsia="Cambria" w:cs="" w:ascii="Cambria" w:hAnsi="Cambria" w:asciiTheme="minorHAnsi" w:cstheme="minorBidi" w:eastAsiaTheme="minorHAnsi" w:hAnsiTheme="minorHAnsi"/>
          <w:shd w:fill="D4EA6B" w:val="clear"/>
        </w:rPr>
        <w:t xml:space="preserve">narraciones orales recogidas por terceros. Lo que me propongo en esta sección es demostrar la relación entre estas dos dimensiones, que como veremos es crucial para entender el modo en que la dimensión artístico-literaria y la dimensión político-militar de Rodríguez funcionan en conjunto como lo que llamo “potencialidades desencasillantes”. En este análisis conjunto de las dos series rodrigueanas rastreo </w:t>
      </w:r>
      <w:r>
        <w:rPr>
          <w:rFonts w:eastAsia="Cambria" w:cs="" w:ascii="Cambria" w:hAnsi="Cambria" w:asciiTheme="minorHAnsi" w:cstheme="minorBidi" w:eastAsiaTheme="minorHAnsi" w:hAnsiTheme="minorHAnsi"/>
          <w:shd w:fill="FFFF00" w:val="clear"/>
        </w:rPr>
        <w:t>el chisme que asciende a la historia oficial, y muestro cómo estos dos registros se combinan para infiltrarse en la maquinaria ideológica del Estado, y subrayar e incluso exagerar las discontinuidades y los excesos que esta trata de anular.</w:t>
      </w:r>
    </w:p>
    <w:p>
      <w:pPr>
        <w:pStyle w:val="TextBody"/>
        <w:ind w:left="0" w:right="0" w:hanging="0"/>
        <w:rPr/>
      </w:pPr>
      <w:r>
        <w:rPr>
          <w:rFonts w:eastAsia="Cambria" w:cs="" w:ascii="Cambria" w:hAnsi="Cambria" w:asciiTheme="minorHAnsi" w:cstheme="minorBidi" w:eastAsiaTheme="minorHAnsi" w:hAnsiTheme="minorHAnsi"/>
          <w:shd w:fill="FFFF00" w:val="clear"/>
        </w:rPr>
        <w:tab/>
        <w:t>Hago esta exploración atento al impacto que el efecto discrónico de la obra de Rodríguez ha tenido en la lectura crítica. Como señala Camila (</w:t>
      </w:r>
      <w:r>
        <w:rPr>
          <w:rFonts w:eastAsia="Cambria" w:cs="" w:ascii="Cambria" w:hAnsi="Cambria" w:asciiTheme="minorHAnsi" w:cstheme="minorBidi" w:eastAsiaTheme="minorHAnsi" w:hAnsiTheme="minorHAnsi"/>
          <w:b/>
          <w:bCs/>
          <w:shd w:fill="FFFF00" w:val="clear"/>
        </w:rPr>
        <w:t>machadoPreguntasSobreAutoridad?</w:t>
      </w:r>
      <w:r>
        <w:rPr>
          <w:rFonts w:eastAsia="Cambria" w:cs="" w:ascii="Cambria" w:hAnsi="Cambria" w:asciiTheme="minorHAnsi" w:cstheme="minorBidi" w:eastAsiaTheme="minorHAnsi" w:hAnsiTheme="minorHAnsi"/>
          <w:shd w:fill="FFFF00" w:val="clear"/>
        </w:rPr>
        <w:t>), esta ha estado tradicionalmente atravesada por una mirada que opaca su relación con las condiciones de posibilidad histórica que le dieron lugar como acontecimiento (pp). Dicho de otra forma: antes de avanzar hacia la ponderación del valor estrictamente artístico-vanguardista de la obra de Rodríguez –implícito en la homología que Camnitzer plantea con Duchamp--, hay que definir lo que hay en Rodríguez que</w:t>
      </w:r>
      <w:r>
        <w:rPr>
          <w:rFonts w:eastAsia="Cambria" w:cs="" w:ascii="Cambria" w:hAnsi="Cambria" w:asciiTheme="minorHAnsi" w:cstheme="minorBidi" w:eastAsiaTheme="minorHAnsi" w:hAnsiTheme="minorHAnsi"/>
          <w:i/>
          <w:iCs/>
          <w:shd w:fill="FFFF00" w:val="clear"/>
        </w:rPr>
        <w:t xml:space="preserve"> no</w:t>
      </w:r>
      <w:r>
        <w:rPr>
          <w:rFonts w:eastAsia="Cambria" w:cs="" w:ascii="Cambria" w:hAnsi="Cambria" w:asciiTheme="minorHAnsi" w:cstheme="minorBidi" w:eastAsiaTheme="minorHAnsi" w:hAnsiTheme="minorHAnsi"/>
          <w:i w:val="false"/>
          <w:iCs w:val="false"/>
          <w:shd w:fill="FFFF00" w:val="clear"/>
        </w:rPr>
        <w:t xml:space="preserve"> pertenece al orden de la irreverencia y la disrrupción, sino de la voluntad de poder y de orden. Porque, </w:t>
      </w:r>
      <w:r>
        <w:rPr>
          <w:rFonts w:eastAsia="Cambria" w:cs="" w:ascii="Cambria" w:hAnsi="Cambria" w:asciiTheme="minorHAnsi" w:cstheme="minorBidi" w:eastAsiaTheme="minorHAnsi" w:hAnsiTheme="minorHAnsi"/>
          <w:shd w:fill="FFFF00" w:val="clear"/>
        </w:rPr>
        <w:t xml:space="preserve">como sugiere Javier Lasarte Valcárcel, la homología directa entre el “arte de pintar palabras” de Rodríguez y los hitos de experimentación tipográfica de las “vanguardias históricas” puede favorecer una interpretación unívocamente contracultural de su obra, que la aisla de los intereses históricos que la motorizan (pp). </w:t>
      </w:r>
      <w:r>
        <w:rPr>
          <w:rFonts w:eastAsia="Cambria" w:cs="" w:ascii="Cambria" w:hAnsi="Cambria" w:asciiTheme="minorHAnsi" w:cstheme="minorBidi" w:eastAsiaTheme="minorHAnsi" w:hAnsiTheme="minorHAnsi"/>
          <w:shd w:fill="FFFF00" w:val="clear"/>
        </w:rPr>
        <w:t xml:space="preserve">Como mostraré, la tradición crítica que caracterizó a Rodríguez bajo coordenadas del vanguardismo y la contracultura, continuó una lectura excepcionalista de su obra que se inció a mediados del siglo XX, cuando el primer “rescate” de Rodríguez lo presentó como un romántico individualista. </w:t>
      </w:r>
      <w:r>
        <w:rPr>
          <w:rFonts w:eastAsia="Cambria" w:cs="" w:ascii="Cambria" w:hAnsi="Cambria" w:asciiTheme="minorHAnsi" w:cstheme="minorBidi" w:eastAsiaTheme="minorHAnsi" w:hAnsiTheme="minorHAnsi"/>
          <w:shd w:fill="FFFF00" w:val="clear"/>
        </w:rPr>
        <w:t xml:space="preserve">Por eso en la segunda sección del capítulo analizo algunas tentativas críticas del canon latinoamericanista que tipificaron a Rodríguez como un epígono americano del romanticismo, </w:t>
      </w:r>
      <w:r>
        <w:rPr>
          <w:rFonts w:eastAsia="Cambria" w:cs="" w:ascii="Cambria" w:hAnsi="Cambria" w:asciiTheme="minorHAnsi" w:cstheme="minorBidi" w:eastAsiaTheme="minorHAnsi" w:hAnsiTheme="minorHAnsi"/>
          <w:shd w:fill="FFFF00" w:val="clear"/>
        </w:rPr>
        <w:t>y especialmente de Jean Jacques Rousseau</w:t>
      </w:r>
      <w:r>
        <w:rPr>
          <w:rFonts w:eastAsia="Cambria" w:cs="" w:ascii="Cambria" w:hAnsi="Cambria" w:asciiTheme="minorHAnsi" w:cstheme="minorBidi" w:eastAsiaTheme="minorHAnsi" w:hAnsiTheme="minorHAnsi"/>
          <w:shd w:fill="FFFF00" w:val="clear"/>
        </w:rPr>
        <w:t xml:space="preserve">. En esta sección recurro a una narración oral, en la que </w:t>
      </w:r>
      <w:r>
        <w:rPr>
          <w:rFonts w:eastAsia="Cambria" w:cs="" w:ascii="Cambria" w:hAnsi="Cambria" w:asciiTheme="minorHAnsi" w:cstheme="minorBidi" w:eastAsiaTheme="minorHAnsi" w:hAnsiTheme="minorHAnsi"/>
          <w:shd w:fill="FFFF00" w:val="clear"/>
        </w:rPr>
        <w:t>Rodríguez</w:t>
      </w:r>
      <w:r>
        <w:rPr>
          <w:rFonts w:eastAsia="Cambria" w:cs="" w:ascii="Cambria" w:hAnsi="Cambria" w:asciiTheme="minorHAnsi" w:cstheme="minorBidi" w:eastAsiaTheme="minorHAnsi" w:hAnsiTheme="minorHAnsi"/>
          <w:shd w:fill="FFFF00" w:val="clear"/>
        </w:rPr>
        <w:t xml:space="preserve"> deliberadamente ofrece una versión falsificada de su vida a un viajero francés, que </w:t>
      </w:r>
      <w:r>
        <w:rPr>
          <w:rFonts w:eastAsia="Cambria" w:cs="" w:ascii="Cambria" w:hAnsi="Cambria" w:asciiTheme="minorHAnsi" w:cstheme="minorBidi" w:eastAsiaTheme="minorHAnsi" w:hAnsiTheme="minorHAnsi"/>
          <w:shd w:fill="FFFF00" w:val="clear"/>
        </w:rPr>
        <w:t xml:space="preserve">luego se </w:t>
      </w:r>
      <w:r>
        <w:rPr>
          <w:rFonts w:eastAsia="Cambria" w:cs="" w:ascii="Cambria" w:hAnsi="Cambria" w:asciiTheme="minorHAnsi" w:cstheme="minorBidi" w:eastAsiaTheme="minorHAnsi" w:hAnsiTheme="minorHAnsi"/>
          <w:shd w:fill="FFFF00" w:val="clear"/>
        </w:rPr>
        <w:t xml:space="preserve">convirtió en </w:t>
      </w:r>
      <w:r>
        <w:rPr>
          <w:rFonts w:eastAsia="Cambria" w:cs="" w:ascii="Cambria" w:hAnsi="Cambria" w:asciiTheme="minorHAnsi" w:cstheme="minorBidi" w:eastAsiaTheme="minorHAnsi" w:hAnsiTheme="minorHAnsi"/>
          <w:shd w:fill="FFFF00" w:val="clear"/>
        </w:rPr>
        <w:t xml:space="preserve">la referncia central para </w:t>
      </w:r>
      <w:r>
        <w:rPr>
          <w:rFonts w:eastAsia="Cambria" w:cs="" w:ascii="Cambria" w:hAnsi="Cambria" w:asciiTheme="minorHAnsi" w:cstheme="minorBidi" w:eastAsiaTheme="minorHAnsi" w:hAnsiTheme="minorHAnsi"/>
          <w:shd w:fill="FFFF00" w:val="clear"/>
        </w:rPr>
        <w:t xml:space="preserve">“rostrificar” a Rodríguez como Rousseau tropicalizado </w:t>
      </w:r>
      <w:r>
        <w:rPr>
          <w:rFonts w:eastAsia="Cambria" w:cs="" w:ascii="Cambria" w:hAnsi="Cambria" w:asciiTheme="minorHAnsi" w:cstheme="minorBidi" w:eastAsiaTheme="minorHAnsi" w:hAnsiTheme="minorHAnsi"/>
          <w:shd w:fill="FFFF00" w:val="clear"/>
        </w:rPr>
        <w:t>[nota: adelanto de cómo uso el concepto de Deleuze y Guattari]</w:t>
      </w:r>
      <w:r>
        <w:rPr>
          <w:rFonts w:eastAsia="Cambria" w:cs="" w:ascii="Cambria" w:hAnsi="Cambria" w:asciiTheme="minorHAnsi" w:cstheme="minorBidi" w:eastAsiaTheme="minorHAnsi" w:hAnsiTheme="minorHAnsi"/>
          <w:shd w:fill="FFFF00" w:val="clear"/>
        </w:rPr>
        <w:t xml:space="preserve">. </w:t>
      </w:r>
    </w:p>
    <w:p>
      <w:pPr>
        <w:pStyle w:val="TextBody"/>
        <w:ind w:left="0" w:right="0" w:hanging="0"/>
        <w:rPr/>
      </w:pPr>
      <w:r>
        <w:rPr>
          <w:rFonts w:eastAsia="Cambria" w:cs="" w:ascii="Cambria" w:hAnsi="Cambria" w:asciiTheme="minorHAnsi" w:cstheme="minorBidi" w:eastAsiaTheme="minorHAnsi" w:hAnsiTheme="minorHAnsi"/>
          <w:shd w:fill="FFFF00" w:val="clear"/>
        </w:rPr>
        <w:tab/>
        <w:t>Finalmente, en la tercera sección examino la discusión impresa e intelectual de la que Rodríguez fue contemporáneo, para poner en perspectiva los aspectos de su obra que han sido comparados u homologados con el arte de vanguardia del siglo XX. En este diálogo tengo presentes contribuciones del siglo XXI, como las de Ronald Briggs, y los mismos Lasarte Valcárcel y Camnitzer (</w:t>
      </w:r>
      <w:r>
        <w:rPr>
          <w:rFonts w:eastAsia="Cambria" w:cs="" w:ascii="Cambria" w:hAnsi="Cambria" w:asciiTheme="minorHAnsi" w:cstheme="minorBidi" w:eastAsiaTheme="minorHAnsi" w:hAnsiTheme="minorHAnsi"/>
          <w:i/>
          <w:iCs/>
          <w:shd w:fill="FFFF00" w:val="clear"/>
        </w:rPr>
        <w:t>Conceptualism in Latin American art</w:t>
      </w:r>
      <w:r>
        <w:rPr>
          <w:rFonts w:eastAsia="Cambria" w:cs="" w:ascii="Cambria" w:hAnsi="Cambria" w:asciiTheme="minorHAnsi" w:cstheme="minorBidi" w:eastAsiaTheme="minorHAnsi" w:hAnsiTheme="minorHAnsi"/>
          <w:shd w:fill="FFFF00" w:val="clear"/>
        </w:rPr>
        <w:t xml:space="preserve">), que ofrecen claves para detectar la proximidad de Rodríguez, tanto a la voluntad fundacional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w:t>
      </w:r>
      <w:r>
        <w:rPr>
          <w:rFonts w:eastAsia="Cambria" w:cs="" w:ascii="Cambria" w:hAnsi="Cambria" w:asciiTheme="minorHAnsi" w:cstheme="minorBidi" w:eastAsiaTheme="minorHAnsi" w:hAnsiTheme="minorHAnsi"/>
          <w:shd w:fill="FFFF00" w:val="clear"/>
        </w:rPr>
        <w:t xml:space="preserve">esta lectura </w:t>
      </w:r>
      <w:r>
        <w:rPr>
          <w:rFonts w:eastAsia="Cambria" w:cs="" w:ascii="Cambria" w:hAnsi="Cambria" w:asciiTheme="minorHAnsi" w:cstheme="minorBidi" w:eastAsiaTheme="minorHAnsi" w:hAnsiTheme="minorHAnsi"/>
          <w:shd w:fill="FFFF00" w:val="clear"/>
        </w:rPr>
        <w:t xml:space="preserve">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 </w:t>
      </w:r>
      <w:bookmarkStart w:id="0" w:name="Xe854bdbd5f6928931c19c500bb12e362e254020"/>
    </w:p>
    <w:p>
      <w:pPr>
        <w:pStyle w:val="Heading3"/>
        <w:rPr/>
      </w:pPr>
      <w:r>
        <w:rPr/>
        <w:t>Carta de presentación</w:t>
      </w:r>
    </w:p>
    <w:p>
      <w:pPr>
        <w:pStyle w:val="TextBody"/>
        <w:ind w:left="0" w:right="0" w:hanging="0"/>
        <w:rPr/>
      </w:pPr>
      <w:r>
        <w:rPr>
          <w:rFonts w:eastAsia="Cambria" w:cs="" w:ascii="Cambria" w:hAnsi="Cambria" w:asciiTheme="minorHAnsi" w:cstheme="minorBidi" w:eastAsiaTheme="minorHAnsi" w:hAnsiTheme="minorHAnsi"/>
          <w:shd w:fill="FFFF00" w:val="clear"/>
        </w:rPr>
        <w:tab/>
        <w:t xml:space="preserve">&lt;transición: cuando se termina de sembrar el vínculo que, años después, habilitó la entrada de Rodríguez en los asuntos públicos americanos, desde lo más alto de las jerarquías&gt; </w:t>
      </w:r>
      <w:r>
        <w:rPr/>
        <w:t xml:space="preserve">Tras enviudar en Venezuela prematuramente –a los 21 años–, Bolívar se fue a Europa a vivir lo que en la carta se describe como un “estado de consunción” en el que morir “era lo que yo deseaba”. Según carta de Bolívar a su prima y amante Fanny de Villars, en 1804, se encontró con Rodríguez en Viena, que para entonces vivía ahí trabajando como asistente en un laboratorio de química[nota: este es el documento cuestionado al que me referí, según el cual Rodríguez fue su albacea y </w:t>
      </w:r>
      <w:r>
        <w:rPr>
          <w:i/>
          <w:iCs/>
        </w:rPr>
        <w:t>coach</w:t>
      </w:r>
      <w:r>
        <w:rPr>
          <w:i w:val="false"/>
          <w:iCs w:val="false"/>
        </w:rPr>
        <w:t xml:space="preserve"> motivacional</w:t>
      </w:r>
      <w:r>
        <w:rPr/>
        <w:t>]. Para sacarlo del estado en que se encontraba, Rodríguez le hizo saber a Bolívar la suma de dinero de la que disponía, y lo convenció de hacer un viaje a pie –al menos en su mayor parte– hacia el sur, que los llevó hasta más allá de Roma (Lozano y Lozano 55–59)</w:t>
      </w:r>
    </w:p>
    <w:p>
      <w:pPr>
        <w:pStyle w:val="TextBody"/>
        <w:rPr/>
      </w:pPr>
      <w:r>
        <w:rPr/>
        <w:t>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 </w:t>
      </w:r>
      <w:r>
        <w:rPr>
          <w:rStyle w:val="FootnoteAnchor"/>
        </w:rPr>
        <w:footnoteReference w:id="6"/>
      </w:r>
      <w:r>
        <w:rPr/>
        <w:t>.</w:t>
      </w:r>
    </w:p>
    <w:p>
      <w:pPr>
        <w:pStyle w:val="TextBody"/>
        <w:rPr/>
      </w:pPr>
      <w:r>
        <w:rPr/>
        <w:t>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amparado por singular combinación de atribuciones que el gobierno presidido por Bolívar le asignó: “Minas, Agricultura, Caminos, y Enseñanza de Física, Química y Matemáticas”.</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Sin embargo, lo que ha sido canonizado de Rodríguez en más evocaciones iconográficas, y repetido mecánicamente en más situaciones protocolares, escolares, proselitistas y turísticas durante casi siglo y medio no fue el “arte de pintar palabras” sino, precisamente, el texto del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 [figura: fotografía de archivo público de la obra de 1910 y fotografía de archivo propio de la obra de 1950].</w:t>
      </w:r>
    </w:p>
    <w:p>
      <w:pPr>
        <w:pStyle w:val="TextBody"/>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Hago estas precisiones porque lo que me interesa en este capítulo es trazar cómo la organización histórica lidió con las potencias </w:t>
      </w:r>
      <w:r>
        <w:rPr/>
        <w:t>desencasillantes</w:t>
      </w:r>
      <w:r>
        <w:rPr/>
        <w:t xml:space="preserve">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xml:space="preserve">. Por eso me seguiré aproximando diacrónicamente a esas tentativas, lo cual además facilitará hacer una breve revisión de la asimiliación de Rodríguez, no solo por los aparatos ideológicos de Estado, sino por la crítica contemporánea, donde </w:t>
      </w:r>
      <w:r>
        <w:rPr/>
        <w:t>aparecen</w:t>
      </w:r>
      <w:r>
        <w:rPr/>
        <w:t xml:space="preserve"> también repetidas tentativas de estabilización y asimilación</w:t>
      </w:r>
      <w:bookmarkEnd w:id="2"/>
      <w:r>
        <w:rPr/>
        <w:t>.</w:t>
      </w:r>
    </w:p>
    <w:p>
      <w:pPr>
        <w:pStyle w:val="TextBody"/>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pero también una voluntad de reconocimiento de su propia relevancia, independientemente de su relación con Bolívar. Esta voluntad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publica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 “Juramento” arrastró consigo a la circulación impresa.</w:t>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2"/>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“rendimos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w:t>
      </w:r>
    </w:p>
    <w:p>
      <w:pPr>
        <w:pStyle w:val="TextBody"/>
        <w:rPr/>
      </w:pPr>
      <w:r>
        <w:rPr/>
        <w:t xml:space="preserve">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4"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and Guattari 184).</w:t>
      </w:r>
    </w:p>
    <w:p>
      <w:pPr>
        <w:pStyle w:val="TextBody"/>
        <w:rPr/>
      </w:pPr>
      <w:r>
        <w:rPr/>
        <w:t xml:space="preserve">Claro que en el modelo metafórico de Deleuze and Guattari, el rostro no es un rostro en un sentido literal, como aparece en el crop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p>
    <w:p>
      <w:pPr>
        <w:pStyle w:val="Heading3"/>
        <w:rPr/>
      </w:pPr>
      <w:bookmarkStart w:id="7" w:name="romantizar-para-normalizar"/>
      <w:r>
        <w:rPr/>
        <w:t>Romantizar para normalizar</w:t>
      </w:r>
    </w:p>
    <w:p>
      <w:pPr>
        <w:pStyle w:val="FirstParagraph"/>
        <w:rPr/>
      </w:pPr>
      <w:r>
        <w:rPr/>
        <w:t>En la etapa de canonización de Rodríguez, Rawicz and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w:t>
      </w:r>
    </w:p>
    <w:p>
      <w:pPr>
        <w:pStyle w:val="TextBody"/>
        <w:rPr/>
      </w:pPr>
      <w:r>
        <w:rPr/>
        <w:t>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Sin embargo, 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izaba sus anomalías.</w:t>
      </w:r>
    </w:p>
    <w:p>
      <w:pPr>
        <w:pStyle w:val="TextBody"/>
        <w:rPr/>
      </w:pPr>
      <w:r>
        <w:rPr/>
        <w:t xml:space="preserve">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Pero más aún que esas declaraciones de principios, son significativos los dispositivos de desencasillamiento que –como el contenido apócrifo del “Juramento”–, se originan en la habilidad performática del Rodríguez narrador.</w:t>
      </w:r>
    </w:p>
    <w:p>
      <w:pPr>
        <w:pStyle w:val="TextBody"/>
        <w:rPr/>
      </w:pPr>
      <w:r>
        <w:rPr/>
        <w:t xml:space="preserve">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7"/>
    </w:p>
    <w:p>
      <w:pPr>
        <w:pStyle w:val="Heading3"/>
        <w:rPr/>
      </w:pPr>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8"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8"/>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9"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0" w:name="el-crop-romántico-del-individuo"/>
      <w:bookmarkStart w:id="11"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bookmarkEnd w:id="11"/>
    </w:p>
    <w:p>
      <w:pPr>
        <w:pStyle w:val="Heading2"/>
        <w:rPr/>
      </w:pPr>
      <w:bookmarkStart w:id="12" w:name="otra-cara-del-arte-de-vanguardia"/>
      <w:r>
        <w:rPr/>
        <w:t>Otra cara del arte de vanguardia</w:t>
      </w:r>
    </w:p>
    <w:p>
      <w:pPr>
        <w:pStyle w:val="Heading3"/>
        <w:rPr/>
      </w:pPr>
      <w:bookmarkStart w:id="13"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3"/>
    </w:p>
    <w:p>
      <w:pPr>
        <w:pStyle w:val="Heading3"/>
        <w:rPr/>
      </w:pPr>
      <w:bookmarkStart w:id="14"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14"/>
    </w:p>
    <w:p>
      <w:pPr>
        <w:pStyle w:val="Heading3"/>
        <w:rPr/>
      </w:pPr>
      <w:bookmarkStart w:id="15"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5"/>
    </w:p>
    <w:p>
      <w:pPr>
        <w:pStyle w:val="Heading3"/>
        <w:rPr/>
      </w:pPr>
      <w:bookmarkStart w:id="16"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16"/>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17"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17"/>
    </w:p>
    <w:p>
      <w:pPr>
        <w:pStyle w:val="Heading3"/>
        <w:rPr/>
      </w:pPr>
      <w:bookmarkStart w:id="18"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en la relación, más evidente y señalada, entre el “arte de pintar palabras” y la poesía visual de Mallarmé, Apollinaire, Huidobro y Girondo. La clave al contraponer estas obras se encuentra en un aspecto puntual del desarrollo desigual, como lo es el avance de las recnologías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19" w:name="refs"/>
      <w:bookmarkStart w:id="20" w:name="ref-aminElogeSocialisme1974"/>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1"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1"/>
    </w:p>
    <w:p>
      <w:pPr>
        <w:pStyle w:val="Bibliography"/>
        <w:rPr/>
      </w:pPr>
      <w:bookmarkStart w:id="22"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2"/>
    </w:p>
    <w:p>
      <w:pPr>
        <w:pStyle w:val="Bibliography"/>
        <w:rPr/>
      </w:pPr>
      <w:bookmarkStart w:id="23" w:name="X90cf82b97c88b1667cc2d2adc2616cef63347ed"/>
      <w:r>
        <w:rPr/>
        <w:t xml:space="preserve">Anderson, Benedict R. O’G. </w:t>
      </w:r>
      <w:r>
        <w:rPr>
          <w:i/>
          <w:iCs/>
        </w:rPr>
        <w:t>Imagined Communities : Reflections on the Origin and Spread of Nationalism</w:t>
      </w:r>
      <w:r>
        <w:rPr/>
        <w:t>. 2016. /z-wcorg/.</w:t>
      </w:r>
      <w:bookmarkEnd w:id="23"/>
    </w:p>
    <w:p>
      <w:pPr>
        <w:pStyle w:val="Bibliography"/>
        <w:rPr/>
      </w:pPr>
      <w:bookmarkStart w:id="24" w:name="ref-benjaminObraArteEpoca2003"/>
      <w:r>
        <w:rPr/>
        <w:t xml:space="preserve">Benjamin, Walter, and Andrés E. Weiker. </w:t>
      </w:r>
      <w:r>
        <w:rPr>
          <w:i/>
          <w:iCs/>
        </w:rPr>
        <w:t>La obra de arte en la época de su reproductibilidad técnica</w:t>
      </w:r>
      <w:r>
        <w:rPr/>
        <w:t>. Ítaca, 2003.</w:t>
      </w:r>
      <w:bookmarkEnd w:id="24"/>
    </w:p>
    <w:p>
      <w:pPr>
        <w:pStyle w:val="Bibliography"/>
        <w:rPr/>
      </w:pPr>
      <w:bookmarkStart w:id="25" w:name="ref-bhabhaNationNarration1991"/>
      <w:r>
        <w:rPr/>
        <w:t xml:space="preserve">Bhabha, Homi K. </w:t>
      </w:r>
      <w:r>
        <w:rPr>
          <w:i/>
          <w:iCs/>
        </w:rPr>
        <w:t>Nation and Narration</w:t>
      </w:r>
      <w:r>
        <w:rPr/>
        <w:t>. Routledge, 1991. /z-wcorg/.</w:t>
      </w:r>
      <w:bookmarkEnd w:id="25"/>
    </w:p>
    <w:p>
      <w:pPr>
        <w:pStyle w:val="Bibliography"/>
        <w:rPr/>
      </w:pPr>
      <w:bookmarkStart w:id="26" w:name="ref-bolivarObrasCompletas1947"/>
      <w:r>
        <w:rPr/>
        <w:t xml:space="preserve">Bolívar, Simón. </w:t>
      </w:r>
      <w:r>
        <w:rPr>
          <w:i/>
          <w:iCs/>
        </w:rPr>
        <w:t>Obras completas</w:t>
      </w:r>
      <w:r>
        <w:rPr/>
        <w:t>. Edited by Vicente Lecuna, vol. 1, Ediciones Lisama, 1947.</w:t>
      </w:r>
      <w:bookmarkEnd w:id="26"/>
    </w:p>
    <w:p>
      <w:pPr>
        <w:pStyle w:val="Bibliography"/>
        <w:rPr/>
      </w:pPr>
      <w:bookmarkStart w:id="27"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7"/>
    </w:p>
    <w:p>
      <w:pPr>
        <w:pStyle w:val="Bibliography"/>
        <w:rPr/>
      </w:pPr>
      <w:bookmarkStart w:id="28" w:name="ref-burgerTheoryAvantgarde1984"/>
      <w:r>
        <w:rPr/>
        <w:t xml:space="preserve">Bürger, Peter, and Jochen Schulte-Sasse. </w:t>
      </w:r>
      <w:r>
        <w:rPr>
          <w:i/>
          <w:iCs/>
        </w:rPr>
        <w:t>Theory of the avant-garde</w:t>
      </w:r>
      <w:r>
        <w:rPr/>
        <w:t>. Translated by Michael Shaw, University of Minnesota Press, 1984.</w:t>
      </w:r>
      <w:bookmarkEnd w:id="28"/>
    </w:p>
    <w:p>
      <w:pPr>
        <w:pStyle w:val="Bibliography"/>
        <w:rPr/>
      </w:pPr>
      <w:bookmarkStart w:id="29"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29"/>
    </w:p>
    <w:p>
      <w:pPr>
        <w:pStyle w:val="Bibliography"/>
        <w:rPr/>
      </w:pPr>
      <w:bookmarkStart w:id="30" w:name="Xd8b90658deaf75b5c23de03eaa334fbd835ea8e"/>
      <w:r>
        <w:rPr/>
        <w:t xml:space="preserve">Camnitzer, Luis. </w:t>
      </w:r>
      <w:r>
        <w:rPr>
          <w:i/>
          <w:iCs/>
        </w:rPr>
        <w:t>Conceptualism in Latin American art: didactics of liberation</w:t>
      </w:r>
      <w:r>
        <w:rPr/>
        <w:t>. University of Texas Press, 2007.</w:t>
      </w:r>
      <w:bookmarkEnd w:id="30"/>
    </w:p>
    <w:p>
      <w:pPr>
        <w:pStyle w:val="Bibliography"/>
        <w:rPr/>
      </w:pPr>
      <w:bookmarkStart w:id="31"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1"/>
    </w:p>
    <w:p>
      <w:pPr>
        <w:pStyle w:val="Bibliography"/>
        <w:rPr/>
      </w:pPr>
      <w:bookmarkStart w:id="32" w:name="ref-carreradamasCultoBolivarEsbozo2013"/>
      <w:r>
        <w:rPr/>
        <w:t xml:space="preserve">Carrera Damas, German. </w:t>
      </w:r>
      <w:r>
        <w:rPr>
          <w:i/>
          <w:iCs/>
        </w:rPr>
        <w:t>El culto a Bolivar : esbozo para un estudio de la historia de las ideas en Venezuela</w:t>
      </w:r>
      <w:r>
        <w:rPr/>
        <w:t>. Editorial Alfa, 2013.</w:t>
      </w:r>
      <w:bookmarkEnd w:id="32"/>
    </w:p>
    <w:p>
      <w:pPr>
        <w:pStyle w:val="Bibliography"/>
        <w:rPr/>
      </w:pPr>
      <w:bookmarkStart w:id="33"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33"/>
    </w:p>
    <w:p>
      <w:pPr>
        <w:pStyle w:val="Bibliography"/>
        <w:rPr/>
      </w:pPr>
      <w:bookmarkStart w:id="34"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34"/>
    </w:p>
    <w:p>
      <w:pPr>
        <w:pStyle w:val="Bibliography"/>
        <w:rPr/>
      </w:pPr>
      <w:bookmarkStart w:id="35" w:name="ref-deleuzeMilMesetasCapitalismo2002"/>
      <w:r>
        <w:rPr/>
        <w:t xml:space="preserve">Deleuze, Gilles, and Félix Guattari. </w:t>
      </w:r>
      <w:r>
        <w:rPr>
          <w:i/>
          <w:iCs/>
        </w:rPr>
        <w:t>Mil mesetas: capitalismo y esquizofrenia</w:t>
      </w:r>
      <w:r>
        <w:rPr/>
        <w:t>. Translated by José Vásquez Pérez, 5th ed., Pre-Textos, 2002.</w:t>
      </w:r>
      <w:bookmarkEnd w:id="35"/>
    </w:p>
    <w:p>
      <w:pPr>
        <w:pStyle w:val="Bibliography"/>
        <w:rPr/>
      </w:pPr>
      <w:bookmarkStart w:id="36" w:name="ref-derridaSeminarioBestiaSoberano2010"/>
      <w:r>
        <w:rPr/>
        <w:t xml:space="preserve">Derrida, Jacques. </w:t>
      </w:r>
      <w:r>
        <w:rPr>
          <w:i/>
          <w:iCs/>
        </w:rPr>
        <w:t>Seminario La bestia y el soberano</w:t>
      </w:r>
      <w:r>
        <w:rPr/>
        <w:t>. Ediciones Manantial, 2010.</w:t>
      </w:r>
      <w:bookmarkEnd w:id="36"/>
    </w:p>
    <w:p>
      <w:pPr>
        <w:pStyle w:val="Bibliography"/>
        <w:rPr/>
      </w:pPr>
      <w:bookmarkStart w:id="37"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37"/>
    </w:p>
    <w:p>
      <w:pPr>
        <w:pStyle w:val="Bibliography"/>
        <w:rPr/>
      </w:pPr>
      <w:bookmarkStart w:id="38"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38"/>
    </w:p>
    <w:p>
      <w:pPr>
        <w:pStyle w:val="Bibliography"/>
        <w:rPr/>
      </w:pPr>
      <w:bookmarkStart w:id="39" w:name="ref-echeverriaIntroduccion2003"/>
      <w:r>
        <w:rPr/>
        <w:t xml:space="preserve">Echeverría, Bolívar. “Introducción.” </w:t>
      </w:r>
      <w:r>
        <w:rPr>
          <w:i/>
          <w:iCs/>
        </w:rPr>
        <w:t>La obra de arte en la época de su reproductibilidad técnica</w:t>
      </w:r>
      <w:r>
        <w:rPr/>
        <w:t>, by Walter Benjamin and Andrés E. Weiker, Ítaca, 2003.</w:t>
      </w:r>
      <w:bookmarkEnd w:id="39"/>
    </w:p>
    <w:p>
      <w:pPr>
        <w:pStyle w:val="Bibliography"/>
        <w:rPr/>
      </w:pPr>
      <w:bookmarkStart w:id="40"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0"/>
    </w:p>
    <w:p>
      <w:pPr>
        <w:pStyle w:val="Bibliography"/>
        <w:rPr/>
      </w:pPr>
      <w:bookmarkStart w:id="41" w:name="ref-foucaultQueEsAutor2010"/>
      <w:r>
        <w:rPr/>
        <w:t xml:space="preserve">Foucault, Michel. </w:t>
      </w:r>
      <w:r>
        <w:rPr>
          <w:i/>
          <w:iCs/>
        </w:rPr>
        <w:t>Qué es un autor</w:t>
      </w:r>
      <w:r>
        <w:rPr/>
        <w:t>. El Cuenco de Plata, 2010.</w:t>
      </w:r>
      <w:bookmarkEnd w:id="41"/>
    </w:p>
    <w:p>
      <w:pPr>
        <w:pStyle w:val="Bibliography"/>
        <w:rPr/>
      </w:pPr>
      <w:bookmarkStart w:id="42" w:name="ref-graeberDawnEverythingNew2021"/>
      <w:r>
        <w:rPr/>
        <w:t xml:space="preserve">Graeber, David, and D. Wengrow. </w:t>
      </w:r>
      <w:r>
        <w:rPr>
          <w:i/>
          <w:iCs/>
        </w:rPr>
        <w:t>The dawn of everything: a new history of humanity</w:t>
      </w:r>
      <w:r>
        <w:rPr/>
        <w:t>. Unabridged, Macmillan Audio, 2021.</w:t>
      </w:r>
      <w:bookmarkEnd w:id="42"/>
    </w:p>
    <w:p>
      <w:pPr>
        <w:pStyle w:val="Bibliography"/>
        <w:rPr/>
      </w:pPr>
      <w:bookmarkStart w:id="43" w:name="ref-hobsbawmNationsNationalism17801990"/>
      <w:r>
        <w:rPr/>
        <w:t xml:space="preserve">Hobsbawm, E. J. </w:t>
      </w:r>
      <w:r>
        <w:rPr>
          <w:i/>
          <w:iCs/>
        </w:rPr>
        <w:t>Nations and nationalism since 1780: programme, myth, reality</w:t>
      </w:r>
      <w:r>
        <w:rPr/>
        <w:t>. Cambridge University Press, 1990.</w:t>
      </w:r>
      <w:bookmarkEnd w:id="43"/>
    </w:p>
    <w:p>
      <w:pPr>
        <w:pStyle w:val="Bibliography"/>
        <w:rPr/>
      </w:pPr>
      <w:bookmarkStart w:id="44"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4"/>
    </w:p>
    <w:p>
      <w:pPr>
        <w:pStyle w:val="Bibliography"/>
        <w:rPr/>
      </w:pPr>
      <w:bookmarkStart w:id="45"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5"/>
    </w:p>
    <w:p>
      <w:pPr>
        <w:pStyle w:val="Bibliography"/>
        <w:rPr/>
      </w:pPr>
      <w:bookmarkStart w:id="46"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6"/>
    </w:p>
    <w:p>
      <w:pPr>
        <w:pStyle w:val="Bibliography"/>
        <w:rPr/>
      </w:pPr>
      <w:bookmarkStart w:id="47" w:name="ref-lecunaSenorDonSimon1947"/>
      <w:r>
        <w:rPr/>
        <w:t xml:space="preserve">Lecuna, Vicente, editor. “Al señor Don Simón Rodríguez.” </w:t>
      </w:r>
      <w:r>
        <w:rPr>
          <w:i/>
          <w:iCs/>
        </w:rPr>
        <w:t>Obras completas</w:t>
      </w:r>
      <w:r>
        <w:rPr/>
        <w:t>, by Simón Bolívar, Ediciones Lisama, 1947.</w:t>
      </w:r>
      <w:bookmarkEnd w:id="47"/>
    </w:p>
    <w:p>
      <w:pPr>
        <w:pStyle w:val="Bibliography"/>
        <w:rPr/>
      </w:pPr>
      <w:bookmarkStart w:id="48" w:name="X4c2da6591ec1a753ff9dbca9b45c70a0dd016e5"/>
      <w:r>
        <w:rPr/>
        <w:t xml:space="preserve">Lezama Lima, José. “El romanticismo y el hecho americano.” </w:t>
      </w:r>
      <w:r>
        <w:rPr>
          <w:i/>
          <w:iCs/>
        </w:rPr>
        <w:t>La expresión americana</w:t>
      </w:r>
      <w:r>
        <w:rPr/>
        <w:t>, edited by Irlemar. Chiampi, Confluencias, 2011.</w:t>
      </w:r>
      <w:bookmarkEnd w:id="48"/>
    </w:p>
    <w:p>
      <w:pPr>
        <w:pStyle w:val="Bibliography"/>
        <w:rPr/>
      </w:pPr>
      <w:bookmarkStart w:id="49" w:name="ref-lopezCirculoBellasArtes1998"/>
      <w:r>
        <w:rPr/>
        <w:t xml:space="preserve">López, José Enrique, et al. “El Círculo de Bellas Artes y La Modernidad Pictórica En Venezuela.” </w:t>
      </w:r>
      <w:r>
        <w:rPr>
          <w:i/>
          <w:iCs/>
        </w:rPr>
        <w:t>Gaceta Médica de Caracas</w:t>
      </w:r>
      <w:r>
        <w:rPr/>
        <w:t>, vol. 1, no. 106, 1998, pp. 89–102.</w:t>
      </w:r>
      <w:bookmarkEnd w:id="49"/>
    </w:p>
    <w:p>
      <w:pPr>
        <w:pStyle w:val="Bibliography"/>
        <w:rPr/>
      </w:pPr>
      <w:bookmarkStart w:id="50" w:name="ref-lozanoylozanoMaestroLibertador1913"/>
      <w:r>
        <w:rPr/>
        <w:t xml:space="preserve">Lozano y Lozano, Fabio. </w:t>
      </w:r>
      <w:r>
        <w:rPr>
          <w:i/>
          <w:iCs/>
        </w:rPr>
        <w:t>El maestro del Libertador</w:t>
      </w:r>
      <w:r>
        <w:rPr/>
        <w:t>. P. Ollendorff, 1913.</w:t>
      </w:r>
      <w:bookmarkEnd w:id="50"/>
    </w:p>
    <w:p>
      <w:pPr>
        <w:pStyle w:val="Bibliography"/>
        <w:rPr/>
      </w:pPr>
      <w:bookmarkStart w:id="51"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1"/>
    </w:p>
    <w:p>
      <w:pPr>
        <w:pStyle w:val="Bibliography"/>
        <w:rPr/>
      </w:pPr>
      <w:bookmarkStart w:id="52"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2"/>
    </w:p>
    <w:p>
      <w:pPr>
        <w:pStyle w:val="Bibliography"/>
        <w:rPr/>
      </w:pPr>
      <w:bookmarkStart w:id="53" w:name="ref-moralesCronologia1990"/>
      <w:r>
        <w:rPr/>
        <w:t xml:space="preserve">Morales, Fabio, and Departamento Técnico de Biblioteca Ayacucho. “Cronología.” </w:t>
      </w:r>
      <w:r>
        <w:rPr>
          <w:i/>
          <w:iCs/>
        </w:rPr>
        <w:t>Sociedades americanas</w:t>
      </w:r>
      <w:r>
        <w:rPr/>
        <w:t>, by Simón. Rodríguez, Biblioteca Ayacucho, 1990.</w:t>
      </w:r>
      <w:bookmarkEnd w:id="53"/>
    </w:p>
    <w:p>
      <w:pPr>
        <w:pStyle w:val="Bibliography"/>
        <w:rPr/>
      </w:pPr>
      <w:bookmarkStart w:id="54"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54"/>
    </w:p>
    <w:p>
      <w:pPr>
        <w:pStyle w:val="Bibliography"/>
        <w:rPr/>
      </w:pPr>
      <w:bookmarkStart w:id="55"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55"/>
    </w:p>
    <w:p>
      <w:pPr>
        <w:pStyle w:val="Bibliography"/>
        <w:rPr/>
      </w:pPr>
      <w:bookmarkStart w:id="56"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56"/>
    </w:p>
    <w:p>
      <w:pPr>
        <w:pStyle w:val="Bibliography"/>
        <w:rPr/>
      </w:pPr>
      <w:bookmarkStart w:id="57" w:name="ref-rodriguezInventamosErramos2004"/>
      <w:r>
        <w:rPr/>
        <w:t xml:space="preserve">Rodríguez, Simón. </w:t>
      </w:r>
      <w:r>
        <w:rPr>
          <w:i/>
          <w:iCs/>
        </w:rPr>
        <w:t>Inventamos o erramos</w:t>
      </w:r>
      <w:r>
        <w:rPr/>
        <w:t>. Edited by Dardo Cúneo, Monte Avila, 2004.</w:t>
      </w:r>
      <w:bookmarkEnd w:id="57"/>
    </w:p>
    <w:p>
      <w:pPr>
        <w:pStyle w:val="Bibliography"/>
        <w:rPr/>
      </w:pPr>
      <w:bookmarkStart w:id="58"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58"/>
    </w:p>
    <w:p>
      <w:pPr>
        <w:pStyle w:val="Bibliography"/>
        <w:rPr/>
      </w:pPr>
      <w:bookmarkStart w:id="59"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59"/>
    </w:p>
    <w:p>
      <w:pPr>
        <w:pStyle w:val="Bibliography"/>
        <w:rPr/>
      </w:pPr>
      <w:bookmarkStart w:id="60" w:name="Xb1f00bbdd6f2470181f2c5426e97d6fa78accce"/>
      <w:r>
        <w:rPr/>
        <w:t xml:space="preserve">---. </w:t>
      </w:r>
      <w:r>
        <w:rPr>
          <w:i/>
          <w:iCs/>
        </w:rPr>
        <w:t>Sociedades Americanas en 1828. Cómo serán y cómo podrían ser en los siglos venideros</w:t>
      </w:r>
      <w:r>
        <w:rPr/>
        <w:t>. Universidad Autónoma Metropolitana, 2018.</w:t>
      </w:r>
      <w:bookmarkEnd w:id="60"/>
    </w:p>
    <w:p>
      <w:pPr>
        <w:pStyle w:val="Bibliography"/>
        <w:rPr/>
      </w:pPr>
      <w:bookmarkStart w:id="61"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1"/>
    </w:p>
    <w:p>
      <w:pPr>
        <w:pStyle w:val="Bibliography"/>
        <w:rPr/>
      </w:pPr>
      <w:bookmarkStart w:id="62" w:name="Xf27b1d5ff486e38d22d1aa97c51a774ae53bf89"/>
      <w:r>
        <w:rPr/>
        <w:t xml:space="preserve">---. </w:t>
      </w:r>
      <w:r>
        <w:rPr>
          <w:i/>
          <w:iCs/>
        </w:rPr>
        <w:t>Sociedades Americanas en 1828. Luces y virtudes sociales</w:t>
      </w:r>
      <w:r>
        <w:rPr/>
        <w:t>. Universidad Autónoma Metropolitana, 2018.</w:t>
      </w:r>
      <w:bookmarkEnd w:id="62"/>
    </w:p>
    <w:p>
      <w:pPr>
        <w:pStyle w:val="Bibliography"/>
        <w:rPr/>
      </w:pPr>
      <w:bookmarkStart w:id="63" w:name="ref-rotkerBravoPuebloPoder2005"/>
      <w:r>
        <w:rPr/>
        <w:t xml:space="preserve">Rotker, Susana. </w:t>
      </w:r>
      <w:r>
        <w:rPr>
          <w:i/>
          <w:iCs/>
        </w:rPr>
        <w:t>Bravo pueblo : poder, utopía y violencia</w:t>
      </w:r>
      <w:r>
        <w:rPr/>
        <w:t>. Fondo Editorial Nave Va, 2005.</w:t>
      </w:r>
      <w:bookmarkEnd w:id="63"/>
    </w:p>
    <w:p>
      <w:pPr>
        <w:pStyle w:val="Bibliography"/>
        <w:rPr/>
      </w:pPr>
      <w:bookmarkStart w:id="64"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64"/>
    </w:p>
    <w:p>
      <w:pPr>
        <w:pStyle w:val="Bibliography"/>
        <w:rPr/>
      </w:pPr>
      <w:bookmarkStart w:id="65"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65"/>
    </w:p>
    <w:p>
      <w:pPr>
        <w:pStyle w:val="Bibliography"/>
        <w:rPr/>
      </w:pPr>
      <w:bookmarkStart w:id="66"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66"/>
    </w:p>
    <w:p>
      <w:pPr>
        <w:pStyle w:val="Bibliography"/>
        <w:rPr/>
      </w:pPr>
      <w:bookmarkStart w:id="67" w:name="Xe6fed8e939d0d04b675690c32b2a468aa120998"/>
      <w:r>
        <w:rPr/>
        <w:t xml:space="preserve">Rumazo González, Alfonso. “Estudio introductorio.” </w:t>
      </w:r>
      <w:r>
        <w:rPr>
          <w:i/>
          <w:iCs/>
        </w:rPr>
        <w:t>Obras completas</w:t>
      </w:r>
      <w:r>
        <w:rPr/>
        <w:t>, by Simón Rodríguez, vol. 1, Universidad Simón Rodríguez, 1975.</w:t>
      </w:r>
      <w:bookmarkEnd w:id="67"/>
    </w:p>
    <w:p>
      <w:pPr>
        <w:pStyle w:val="Bibliography"/>
        <w:rPr/>
      </w:pPr>
      <w:bookmarkStart w:id="68" w:name="X9e9e7cf04d1a2f74f2eb8fdc2f9a0ecce20c1ec"/>
      <w:r>
        <w:rPr/>
        <w:t xml:space="preserve">---. </w:t>
      </w:r>
      <w:r>
        <w:rPr>
          <w:i/>
          <w:iCs/>
        </w:rPr>
        <w:t>Simón Rodríguez, Maestro de América</w:t>
      </w:r>
      <w:r>
        <w:rPr/>
        <w:t>. Ministerio de Comunicación e Información, 2006.</w:t>
      </w:r>
      <w:bookmarkEnd w:id="68"/>
    </w:p>
    <w:p>
      <w:pPr>
        <w:pStyle w:val="Bibliography"/>
        <w:rPr/>
      </w:pPr>
      <w:bookmarkStart w:id="69"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69"/>
    </w:p>
    <w:p>
      <w:pPr>
        <w:pStyle w:val="Bibliography"/>
        <w:rPr/>
      </w:pPr>
      <w:bookmarkStart w:id="70"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0"/>
    </w:p>
    <w:p>
      <w:pPr>
        <w:pStyle w:val="Bibliography"/>
        <w:rPr/>
      </w:pPr>
      <w:bookmarkStart w:id="71"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1"/>
    </w:p>
    <w:p>
      <w:pPr>
        <w:pStyle w:val="Bibliography"/>
        <w:rPr/>
      </w:pPr>
      <w:bookmarkStart w:id="72"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2"/>
    </w:p>
    <w:p>
      <w:pPr>
        <w:pStyle w:val="Bibliography"/>
        <w:rPr/>
      </w:pPr>
      <w:bookmarkStart w:id="73"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73"/>
    </w:p>
    <w:p>
      <w:pPr>
        <w:pStyle w:val="Bibliography"/>
        <w:rPr/>
      </w:pPr>
      <w:bookmarkStart w:id="74" w:name="X7d6f9ea63e2d66bf260d46ad42bbe2c747978be"/>
      <w:r>
        <w:rPr/>
        <w:t xml:space="preserve">Uslar Pietri, Arturo. </w:t>
      </w:r>
      <w:r>
        <w:rPr>
          <w:i/>
          <w:iCs/>
        </w:rPr>
        <w:t>Letras y hombres de Venezuela.</w:t>
      </w:r>
      <w:r>
        <w:rPr/>
        <w:t xml:space="preserve"> Fondo de Cultura Economica, 1948.</w:t>
      </w:r>
      <w:bookmarkEnd w:id="74"/>
    </w:p>
    <w:p>
      <w:pPr>
        <w:pStyle w:val="Bibliography"/>
        <w:rPr/>
      </w:pPr>
      <w:bookmarkStart w:id="75" w:name="ref-uslarpietriPrologo1954"/>
      <w:r>
        <w:rPr/>
        <w:t xml:space="preserve">Úslar Pietri, Arturo. “Prólogo.” </w:t>
      </w:r>
      <w:r>
        <w:rPr>
          <w:i/>
          <w:iCs/>
        </w:rPr>
        <w:t>Escritos</w:t>
      </w:r>
      <w:r>
        <w:rPr/>
        <w:t>, by Simón Rodríguez, Imprenta Nacional, 1954.</w:t>
      </w:r>
      <w:bookmarkEnd w:id="75"/>
    </w:p>
    <w:p>
      <w:pPr>
        <w:pStyle w:val="Bibliography"/>
        <w:rPr/>
      </w:pPr>
      <w:bookmarkStart w:id="76" w:name="ref-williamsCultureMaterialism2020"/>
      <w:r>
        <w:rPr/>
        <w:t xml:space="preserve">Williams, Raymond. </w:t>
      </w:r>
      <w:r>
        <w:rPr>
          <w:i/>
          <w:iCs/>
        </w:rPr>
        <w:t>Culture and materialism</w:t>
      </w:r>
      <w:r>
        <w:rPr/>
        <w:t>. Verso, 2020.</w:t>
      </w:r>
      <w:bookmarkEnd w:id="76"/>
    </w:p>
    <w:p>
      <w:pPr>
        <w:pStyle w:val="Bibliography"/>
        <w:spacing w:before="0" w:after="200"/>
        <w:rPr/>
      </w:pPr>
      <w:bookmarkStart w:id="77"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2"/>
      <w:bookmarkEnd w:id="18"/>
      <w:bookmarkEnd w:id="19"/>
      <w:bookmarkEnd w:id="77"/>
      <w:r>
        <w:br w:type="page"/>
      </w:r>
    </w:p>
    <w:p>
      <w:pPr>
        <w:pStyle w:val="TextBody"/>
        <w:rPr/>
      </w:pPr>
      <w:r>
        <w:rPr/>
        <w:t>la técnica del Rodríguez escritor descoyunta los engranajes de la progresión homogénea y lineal de la modernidad artística y literaria, la técnica del Rodríguez narrador oral saca de sus casillas la historia política y militar hegemónica de América Latina.</w:t>
      </w:r>
    </w:p>
    <w:p>
      <w:pPr>
        <w:pStyle w:val="TextBody"/>
        <w:spacing w:before="180" w:after="18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sobre la definición que hace de su (anti)metodología como compota-salpicón</w:t>
      </w:r>
    </w:p>
  </w:footnote>
  <w:footnote w:id="4">
    <w:p>
      <w:pPr>
        <w:pStyle w:val="Footnote"/>
        <w:spacing w:before="0" w:after="200"/>
        <w:rPr/>
      </w:pPr>
      <w:r>
        <w:rPr>
          <w:rStyle w:val="FootnoteCharacters"/>
        </w:rPr>
        <w:footnoteRef/>
      </w:r>
      <w:r>
        <w:rPr/>
        <w:t xml:space="preserve">  </w:t>
      </w:r>
      <w:r>
        <w:rPr/>
        <w:t>referencias a las discusiones historiográficas sobre esto</w:t>
      </w:r>
    </w:p>
  </w:footnote>
  <w:footnote w:id="5">
    <w:p>
      <w:pPr>
        <w:pStyle w:val="Footnote"/>
        <w:spacing w:before="0" w:after="200"/>
        <w:rPr/>
      </w:pPr>
      <w:r>
        <w:rPr>
          <w:rStyle w:val="FootnoteCharacters"/>
        </w:rPr>
        <w:footnoteRef/>
      </w:r>
      <w:r>
        <w:rPr/>
        <w:t xml:space="preserve">  </w:t>
      </w:r>
      <w:r>
        <w:rPr/>
        <w:t>cuáles</w:t>
      </w:r>
    </w:p>
  </w:footnote>
  <w:footnote w:id="6">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7">
    <w:p>
      <w:pPr>
        <w:pStyle w:val="Footnote"/>
        <w:spacing w:before="0" w:after="200"/>
        <w:rPr/>
      </w:pPr>
      <w:r>
        <w:rPr>
          <w:rStyle w:val="FootnoteCharacters"/>
        </w:rPr>
        <w:footnoteRef/>
      </w:r>
      <w:r>
        <w:rPr/>
        <w:t xml:space="preserve">  </w:t>
      </w:r>
      <w:r>
        <w:rPr/>
        <w:t>me refiero a todos los críticos que han señalado esto</w:t>
      </w:r>
    </w:p>
  </w:footnote>
  <w:footnote w:id="8">
    <w:p>
      <w:pPr>
        <w:pStyle w:val="Footnote"/>
        <w:spacing w:before="0" w:after="200"/>
        <w:rPr/>
      </w:pPr>
      <w:r>
        <w:rPr>
          <w:rStyle w:val="FootnoteCharacters"/>
        </w:rPr>
        <w:footnoteRef/>
      </w:r>
      <w:r>
        <w:rPr/>
        <w:t xml:space="preserve">  </w:t>
      </w:r>
      <w:r>
        <w:rPr/>
        <w:t>menciono aquí varias de ellas</w:t>
      </w:r>
    </w:p>
  </w:footnote>
  <w:footnote w:id="9">
    <w:p>
      <w:pPr>
        <w:pStyle w:val="Footnote"/>
        <w:spacing w:before="0" w:after="200"/>
        <w:rPr/>
      </w:pPr>
      <w:r>
        <w:rPr>
          <w:rStyle w:val="FootnoteCharacters"/>
        </w:rPr>
        <w:footnoteRef/>
      </w:r>
      <w:r>
        <w:rPr/>
        <w:t xml:space="preserve">  </w:t>
      </w:r>
      <w:r>
        <w:rPr/>
        <w:t>aquí las enumero</w:t>
      </w:r>
    </w:p>
  </w:footnote>
  <w:footnote w:id="10">
    <w:p>
      <w:pPr>
        <w:pStyle w:val="Footnote"/>
        <w:spacing w:before="0" w:after="200"/>
        <w:rPr/>
      </w:pPr>
      <w:r>
        <w:rPr>
          <w:rStyle w:val="FootnoteCharacters"/>
        </w:rPr>
        <w:footnoteRef/>
      </w:r>
      <w:r>
        <w:rPr/>
        <w:t xml:space="preserve">  </w:t>
      </w:r>
      <w:r>
        <w:rPr/>
        <w:t>Sobre el humor de Rodríguez ver Susana Rotker y Susana Rotker</w:t>
      </w:r>
    </w:p>
  </w:footnote>
  <w:footnote w:id="11">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2">
    <w:p>
      <w:pPr>
        <w:pStyle w:val="Footnote"/>
        <w:spacing w:before="0" w:after="200"/>
        <w:rPr/>
      </w:pPr>
      <w:r>
        <w:rPr>
          <w:rStyle w:val="FootnoteCharacters"/>
        </w:rPr>
        <w:footnoteRef/>
      </w:r>
      <w:r>
        <w:rPr/>
        <w:t xml:space="preserve">  </w:t>
      </w:r>
      <w:r>
        <w:rPr/>
        <w:t>menciono aquí los textos de Mitre, Amunátegui y Lastarria</w:t>
      </w:r>
    </w:p>
  </w:footnote>
  <w:footnote w:id="13">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4">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5">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6">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17">
    <w:p>
      <w:pPr>
        <w:pStyle w:val="Footnote"/>
        <w:spacing w:before="0" w:after="200"/>
        <w:rPr/>
      </w:pPr>
      <w:r>
        <w:rPr>
          <w:rStyle w:val="FootnoteCharacters"/>
        </w:rPr>
        <w:footnoteRef/>
      </w:r>
      <w:r>
        <w:rPr/>
        <w:t xml:space="preserve">  </w:t>
      </w:r>
      <w:r>
        <w:rPr/>
        <w:t>los enumero</w:t>
      </w:r>
    </w:p>
  </w:footnote>
  <w:footnote w:id="18">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9">
    <w:p>
      <w:pPr>
        <w:pStyle w:val="Footnote"/>
        <w:spacing w:before="0" w:after="200"/>
        <w:rPr/>
      </w:pPr>
      <w:r>
        <w:rPr>
          <w:rStyle w:val="FootnoteCharacters"/>
        </w:rPr>
        <w:footnoteRef/>
      </w:r>
      <w:r>
        <w:rPr/>
        <w:t xml:space="preserve">  “</w:t>
      </w:r>
      <w:r>
        <w:rPr/>
        <w:t>moutons y paissaient une mousse rase émaillée de quelques brins d’herbe”</w:t>
      </w:r>
    </w:p>
  </w:footnote>
  <w:footnote w:id="20">
    <w:p>
      <w:pPr>
        <w:pStyle w:val="Footnote"/>
        <w:spacing w:before="0" w:after="200"/>
        <w:rPr/>
      </w:pPr>
      <w:r>
        <w:rPr>
          <w:rStyle w:val="FootnoteCharacters"/>
        </w:rPr>
        <w:footnoteRef/>
      </w:r>
      <w:r>
        <w:rPr/>
        <w:t xml:space="preserve">  “</w:t>
      </w:r>
      <w:r>
        <w:rPr/>
        <w:t>un ramassis de maisons quelconques situées au pied d’un morne”</w:t>
      </w:r>
    </w:p>
  </w:footnote>
  <w:footnote w:id="21">
    <w:p>
      <w:pPr>
        <w:pStyle w:val="Footnote"/>
        <w:spacing w:before="0" w:after="200"/>
        <w:rPr/>
      </w:pPr>
      <w:r>
        <w:rPr>
          <w:rStyle w:val="FootnoteCharacters"/>
        </w:rPr>
        <w:footnoteRef/>
      </w:r>
      <w:r>
        <w:rPr/>
        <w:t xml:space="preserve">  </w:t>
      </w:r>
      <w:r>
        <w:rPr/>
        <w:t>original</w:t>
      </w:r>
    </w:p>
  </w:footnote>
  <w:footnote w:id="22">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3">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4">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5">
    <w:p>
      <w:pPr>
        <w:pStyle w:val="Footnote"/>
        <w:spacing w:before="0" w:after="200"/>
        <w:rPr/>
      </w:pPr>
      <w:r>
        <w:rPr>
          <w:rStyle w:val="FootnoteCharacters"/>
        </w:rPr>
        <w:footnoteRef/>
      </w:r>
      <w:r>
        <w:rPr/>
        <w:t xml:space="preserve">  </w:t>
      </w:r>
      <w:r>
        <w:rPr/>
        <w:t>mencionar excepción en Rafael Mondragón</w:t>
      </w:r>
    </w:p>
  </w:footnote>
  <w:footnote w:id="26">
    <w:p>
      <w:pPr>
        <w:pStyle w:val="Footnote"/>
        <w:spacing w:before="0" w:after="200"/>
        <w:rPr/>
      </w:pPr>
      <w:r>
        <w:rPr>
          <w:rStyle w:val="FootnoteCharacters"/>
        </w:rPr>
        <w:footnoteRef/>
      </w:r>
      <w:r>
        <w:rPr/>
        <w:t xml:space="preserve">  </w:t>
      </w:r>
      <w:r>
        <w:rPr/>
        <w:t>traducción</w:t>
      </w:r>
    </w:p>
  </w:footnote>
  <w:footnote w:id="27">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8">
    <w:p>
      <w:pPr>
        <w:pStyle w:val="Footnote"/>
        <w:spacing w:before="0" w:after="200"/>
        <w:rPr/>
      </w:pPr>
      <w:r>
        <w:rPr>
          <w:rStyle w:val="FootnoteCharacters"/>
        </w:rPr>
        <w:footnoteRef/>
      </w:r>
      <w:r>
        <w:rPr/>
        <w:t xml:space="preserve">  </w:t>
      </w:r>
      <w:r>
        <w:rPr/>
        <w:t>algunos ejemplos y referencia a Amunátegui y las cartas</w:t>
      </w:r>
    </w:p>
  </w:footnote>
  <w:footnote w:id="29">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0">
    <w:p>
      <w:pPr>
        <w:pStyle w:val="Footnote"/>
        <w:spacing w:before="0" w:after="200"/>
        <w:rPr/>
      </w:pPr>
      <w:r>
        <w:rPr>
          <w:rStyle w:val="FootnoteCharacters"/>
        </w:rPr>
        <w:footnoteRef/>
      </w:r>
      <w:r>
        <w:rPr/>
        <w:t xml:space="preserve">  </w:t>
      </w:r>
      <w:r>
        <w:rPr/>
        <w:t>quienes hacen estas analogías</w:t>
      </w:r>
    </w:p>
  </w:footnote>
  <w:footnote w:id="31">
    <w:p>
      <w:pPr>
        <w:pStyle w:val="Footnote"/>
        <w:spacing w:before="0" w:after="200"/>
        <w:rPr/>
      </w:pPr>
      <w:r>
        <w:rPr>
          <w:rStyle w:val="FootnoteCharacters"/>
        </w:rPr>
        <w:footnoteRef/>
      </w:r>
      <w:r>
        <w:rPr/>
        <w:t xml:space="preserve">  </w:t>
      </w:r>
      <w:r>
        <w:rPr/>
        <w:t>ejemplos</w:t>
      </w:r>
    </w:p>
  </w:footnote>
  <w:footnote w:id="32">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3">
    <w:p>
      <w:pPr>
        <w:pStyle w:val="Footnote"/>
        <w:spacing w:before="0" w:after="200"/>
        <w:rPr/>
      </w:pPr>
      <w:r>
        <w:rPr>
          <w:rStyle w:val="FootnoteCharacters"/>
        </w:rPr>
        <w:footnoteRef/>
      </w:r>
      <w:r>
        <w:rPr/>
        <w:t xml:space="preserve">  </w:t>
      </w:r>
      <w:r>
        <w:rPr/>
        <w:t>referir las acciones que analiza Camnitzer</w:t>
      </w:r>
    </w:p>
  </w:footnote>
  <w:footnote w:id="34">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5">
    <w:p>
      <w:pPr>
        <w:pStyle w:val="Footnote"/>
        <w:spacing w:before="0" w:after="200"/>
        <w:rPr/>
      </w:pPr>
      <w:r>
        <w:rPr>
          <w:rStyle w:val="FootnoteCharacters"/>
        </w:rPr>
        <w:footnoteRef/>
      </w:r>
      <w:r>
        <w:rPr/>
        <w:t xml:space="preserve">  </w:t>
      </w:r>
      <w:r>
        <w:rPr/>
        <w:t>Caresiani, Rama, Ramos, Sarlo</w:t>
      </w:r>
    </w:p>
  </w:footnote>
  <w:footnote w:id="36">
    <w:p>
      <w:pPr>
        <w:pStyle w:val="Footnote"/>
        <w:spacing w:before="0" w:after="200"/>
        <w:rPr/>
      </w:pPr>
      <w:r>
        <w:rPr>
          <w:rStyle w:val="FootnoteCharacters"/>
        </w:rPr>
        <w:footnoteRef/>
      </w:r>
      <w:r>
        <w:rPr/>
        <w:t xml:space="preserve">  </w:t>
      </w:r>
      <w:r>
        <w:rPr/>
        <w:t>lista de algunos de estos autores</w:t>
      </w:r>
    </w:p>
  </w:footnote>
  <w:footnote w:id="37">
    <w:p>
      <w:pPr>
        <w:pStyle w:val="Footnote"/>
        <w:spacing w:before="0" w:after="200"/>
        <w:rPr/>
      </w:pPr>
      <w:r>
        <w:rPr>
          <w:rStyle w:val="FootnoteCharacters"/>
        </w:rPr>
        <w:footnoteRef/>
      </w:r>
      <w:r>
        <w:rPr/>
        <w:t xml:space="preserve">  </w:t>
      </w:r>
      <w:r>
        <w:rPr/>
        <w:t>cuándo lo haré; creo que en el tercer y cuarto capítulo</w:t>
      </w:r>
    </w:p>
  </w:footnote>
  <w:footnote w:id="38">
    <w:p>
      <w:pPr>
        <w:pStyle w:val="Footnote"/>
        <w:spacing w:before="0" w:after="200"/>
        <w:rPr/>
      </w:pPr>
      <w:r>
        <w:rPr>
          <w:rStyle w:val="FootnoteCharacters"/>
        </w:rPr>
        <w:footnoteRef/>
      </w:r>
      <w:r>
        <w:rPr/>
        <w:t xml:space="preserve">  </w:t>
      </w:r>
      <w:r>
        <w:rPr/>
        <w:t>referencia a Berman, Ramos, Eagleton, Husseyn, Calinescu</w:t>
      </w:r>
    </w:p>
  </w:footnote>
  <w:footnote w:id="39">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0">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1">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2">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LibreOffice/7.4.6.2$Linux_X86_64 LibreOffice_project/40$Build-2</Application>
  <AppVersion>15.0000</AppVersion>
  <Pages>69</Pages>
  <Words>20484</Words>
  <Characters>108926</Characters>
  <CharactersWithSpaces>129194</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2023-05-15T15:23:53Z</dcterms:modified>
  <cp:revision>47</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