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ddressee"/>
        <w:rPr/>
      </w:pPr>
      <w:r>
        <w:rPr/>
        <w:t>Eduardo Febres</w:t>
      </w:r>
    </w:p>
    <w:p>
      <w:pPr>
        <w:pStyle w:val="Addressee"/>
        <w:rPr/>
      </w:pPr>
      <w:r>
        <w:rPr/>
        <w:t>Advisor Joshua Lund</w:t>
      </w:r>
    </w:p>
    <w:p>
      <w:pPr>
        <w:pStyle w:val="Addressee"/>
        <w:rPr/>
      </w:pPr>
      <w:r>
        <w:rPr/>
        <w:t>Dissertation project “Máquinas de signos en la caída de Bolívar: la tecnoestética de Simón Rodríguez y la post-guerra de Independencia latinoamericana”, chapter 1</w:t>
      </w:r>
    </w:p>
    <w:p>
      <w:pPr>
        <w:pStyle w:val="Title"/>
        <w:rPr/>
      </w:pPr>
      <w:r>
        <w:rPr/>
        <w:t>Ch 1: Orinales fuera de 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w:t>
      </w:r>
      <w:r>
        <w:rPr>
          <w:rFonts w:eastAsia="Cambria" w:cs="" w:ascii="Cambria" w:hAnsi="Cambria" w:asciiTheme="minorHAnsi" w:cstheme="minorBidi" w:eastAsiaTheme="minorHAnsi" w:hAnsiTheme="minorHAnsi"/>
          <w:shd w:fill="D4EA6B" w:val="clear"/>
        </w:rPr>
        <w:t>,</w:t>
      </w:r>
      <w:r>
        <w:rPr/>
        <w:t xml:space="preserve"> había sido parte del imperio español. Ahora el Alto Perú no solo era una república independiente de España, sino que por primera vez existía separada de Argentina y Perú como estado-nación. Todo se correspondía con la pomposidad triunfal propia de la circunstancia, hasta que llegó la comida, que estaba servida en “una bajilla abigarrada, en que por fuentes aparecia una coleccion de orinales de loza nuevos i arrendados al efecto en una lozeria (sic.)” (Lastarria pp).</w:t>
      </w:r>
    </w:p>
    <w:p>
      <w:pPr>
        <w:pStyle w:val="TextBody"/>
        <w:rPr/>
      </w:pPr>
      <w:r>
        <w:rPr>
          <w:rFonts w:eastAsia="Cambria" w:cs="" w:ascii="Cambria" w:hAnsi="Cambria" w:asciiTheme="minorHAnsi" w:cstheme="minorBidi" w:eastAsiaTheme="minorHAnsi" w:hAnsiTheme="minorHAnsi"/>
          <w:shd w:fill="FFFF00" w:val="clear"/>
        </w:rPr>
        <w:t>El chisme recorre las páginas de historiadores, biógrafos y críticos</w:t>
      </w:r>
      <w:r>
        <w:rPr>
          <w:rStyle w:val="FootnoteAnchor"/>
          <w:rFonts w:eastAsia="Cambria" w:cs="" w:ascii="Cambria" w:hAnsi="Cambria" w:asciiTheme="minorHAnsi" w:cstheme="minorBidi" w:eastAsiaTheme="minorHAnsi" w:hAnsiTheme="minorHAnsi"/>
          <w:shd w:fill="FFFF00" w:val="clear"/>
        </w:rPr>
        <w:footnoteReference w:id="2"/>
      </w:r>
      <w:r>
        <w:rPr>
          <w:rFonts w:eastAsia="Cambria" w:cs="" w:ascii="Cambria" w:hAnsi="Cambria" w:asciiTheme="minorHAnsi" w:cstheme="minorBidi" w:eastAsiaTheme="minorHAnsi" w:hAnsiTheme="minorHAnsi"/>
          <w:shd w:fill="FFFF00" w:val="clear"/>
        </w:rPr>
        <w:t xml:space="preserve">. </w:t>
      </w:r>
      <w:r>
        <w:rPr/>
        <w:t xml:space="preserve">Y aunque no hay evidencia documental que permita afirmar en firme si ocurrió, uno de los autores que más enfáticamente afirma que </w:t>
      </w:r>
      <w:r>
        <w:rPr>
          <w:i/>
          <w:iCs/>
        </w:rPr>
        <w:t>no</w:t>
      </w:r>
      <w:r>
        <w:rPr/>
        <w:t xml:space="preserve"> ocurrió –el venezolano Alfonso Rumazo González (</w:t>
      </w:r>
      <w:r>
        <w:rPr>
          <w:i/>
          <w:iCs/>
        </w:rPr>
        <w:t>Simón Rodríguez, Maestro de América</w:t>
      </w:r>
      <w:r>
        <w:rPr/>
        <w:t>)–, afirma también que el mismo Rodríguez contribuyó a propagarlo (pp). De hecho,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w:t>
      </w:r>
    </w:p>
    <w:p>
      <w:pPr>
        <w:pStyle w:val="FirstParagraph"/>
        <w:rPr/>
      </w:pPr>
      <w:commentRangeStart w:id="0"/>
      <w:r>
        <w:rPr>
          <w:rFonts w:eastAsia="Cambria" w:cs="" w:ascii="Cambria" w:hAnsi="Cambria" w:asciiTheme="minorHAnsi" w:cstheme="minorBidi" w:eastAsiaTheme="minorHAnsi" w:hAnsiTheme="minorHAnsi"/>
          <w:shd w:fill="D4EA6B" w:val="clear"/>
        </w:rPr>
        <w:t>Probablemente no exista una expresión más precisa para definir la obra de Rodríguez como decir que saca de las casillas a quien la interpreta, o sencillamente que saca y se sale de las casillas</w:t>
      </w:r>
      <w:r>
        <w:rPr>
          <w:rFonts w:eastAsia="Cambria" w:cs="" w:ascii="Cambria" w:hAnsi="Cambria" w:asciiTheme="minorHAnsi" w:cstheme="minorBidi" w:eastAsiaTheme="minorHAnsi" w:hAnsiTheme="minorHAnsi"/>
          <w:shd w:fill="D4EA6B" w:val="clear"/>
        </w:rPr>
      </w:r>
      <w:commentRangeEnd w:id="0"/>
      <w:r>
        <w:commentReference w:id="0"/>
      </w:r>
      <w:r>
        <w:rPr>
          <w:rFonts w:eastAsia="Cambria" w:cs="" w:ascii="Cambria" w:hAnsi="Cambria" w:asciiTheme="minorHAnsi" w:cstheme="minorBidi" w:eastAsiaTheme="minorHAnsi" w:hAnsiTheme="minorHAnsi"/>
          <w:shd w:fill="D4EA6B" w:val="clear"/>
        </w:rPr>
        <w:t xml:space="preserve">. Así lo atestiguan no solo los chismes y testimonios de anécdotas extravagantes como la del “banquete”, sino también su propia obra impresa, que rompe con casi todas las convenciones de la circulación literaria de la época. Pero quizá más aún lo atestigua la línea de fuga que la historia cultural latinoamericana traza cuando trata de insertarlo, sacándolo de su tiempo y su territorio para tipificarlo como un Trotsky, un Bakunín, un Rousseau, un William Blake o un Swedenburg andino-caribeño, que desentona con el heroismo pomposo y neocolonial de la post-guerra de Independencia. </w:t>
      </w:r>
    </w:p>
    <w:p>
      <w:pPr>
        <w:pStyle w:val="FirstParagraph"/>
        <w:rPr>
          <w:rFonts w:ascii="Cambria" w:hAnsi="Cambria" w:eastAsia="Cambria" w:cs="" w:asciiTheme="minorHAnsi" w:cstheme="minorBidi" w:eastAsiaTheme="minorHAnsi" w:hAnsiTheme="minorHAnsi"/>
          <w:shd w:fill="D4EA6B" w:val="clear"/>
        </w:rPr>
      </w:pPr>
      <w:r>
        <w:rPr>
          <w:rFonts w:eastAsia="Cambria" w:cs="" w:cstheme="minorBidi" w:eastAsiaTheme="minorHAnsi" w:ascii="Cambria" w:hAnsi="Cambria"/>
          <w:shd w:fill="D4EA6B" w:val="clear"/>
        </w:rPr>
      </w:r>
    </w:p>
    <w:p>
      <w:pPr>
        <w:pStyle w:val="FirstParagraph"/>
        <w:rPr/>
      </w:pPr>
      <w:r>
        <w:rPr/>
        <w:t xml:space="preserve">En </w:t>
      </w:r>
      <w:r>
        <w:rPr>
          <w:i/>
          <w:iCs/>
        </w:rPr>
        <w:t>Conceptualism in Latin American art</w:t>
      </w:r>
      <w:r>
        <w:rPr/>
        <w:t xml:space="preserve">, Luis Camnitzer se suma a la tradición de leer a Rodríguez desencajado de su tiempo, proponiendo que “el banquete” de las bacinillas es “&lt;la primera aparición de la mierda en el arte occidental&gt;”. Más aún, identifica el episodio como la obra que inicia la serie de presencias –tangibles o sugeridas– de materia orinal y fecal en el arte moderno, cuyo paradigma fue la </w:t>
      </w:r>
      <w:r>
        <w:rPr>
          <w:i/>
          <w:iCs/>
        </w:rPr>
        <w:t>Fuente</w:t>
      </w:r>
      <w:r>
        <w:rPr/>
        <w:t xml:space="preserve"> Duchamp, y cuyo paroxismo fue </w:t>
      </w:r>
      <w:r>
        <w:rPr>
          <w:i/>
          <w:iCs/>
        </w:rPr>
        <w:t>La mierda del artista</w:t>
      </w:r>
      <w:r>
        <w:rPr/>
        <w:t xml:space="preserve"> de Piero Mazzoni (Camnitzer, </w:t>
      </w:r>
      <w:r>
        <w:rPr>
          <w:i/>
          <w:iCs/>
        </w:rPr>
        <w:t>Volando en ausencia de la fuerza de gravedad</w:t>
      </w:r>
      <w:r>
        <w:rPr/>
        <w:t xml:space="preserve"> pp)</w:t>
      </w:r>
      <w:r>
        <w:rPr>
          <w:rFonts w:eastAsia="Cambria" w:cs="" w:ascii="Cambria" w:hAnsi="Cambria" w:asciiTheme="minorHAnsi" w:cstheme="minorBidi" w:eastAsiaTheme="minorHAnsi" w:hAnsiTheme="minorHAnsi"/>
          <w:shd w:fill="D4EA6B" w:val="clear"/>
        </w:rPr>
        <w:t xml:space="preserve">. </w:t>
      </w:r>
      <w:r>
        <w:rPr/>
        <w:t xml:space="preserve">Buscando un marco referencial “propio” para el conceptualismo artístico latinoamericano, Camnitzer lo incorporó de primero en una sucesión que se ahora se leería “Rodríguez-Dada-Situacionismo-Tupamaros”. En este linaje, Rodríguez se erige como el patriarca cultural que define la experiencias límite entre arte y política en América Latina, contemporáneas del arte conceptual usamericano y europeo en los años 60 y 70 (pp). </w:t>
      </w:r>
    </w:p>
    <w:p>
      <w:pPr>
        <w:pStyle w:val="FirstParagraph"/>
        <w:rPr/>
      </w:pPr>
      <w:r>
        <w:rPr/>
        <w:t xml:space="preserve">El análisis de Camnitzer, si bien compatible con otros más rigurosos, no obedece ni pretende obedecer a una metodología clara, ni tampoco a una lectura sistemática del pensamiento de Rodríguez. Él mismo define su enfoque, a partir de uno de sus críticos, como “revisionism at its worst” (Camnitzer, </w:t>
      </w:r>
      <w:r>
        <w:rPr>
          <w:i/>
          <w:iCs/>
        </w:rPr>
        <w:t>Conceptualism in Latin American art</w:t>
      </w:r>
      <w:r>
        <w:rPr/>
        <w:t xml:space="preserve"> pp)</w:t>
      </w:r>
      <w:r>
        <w:rPr>
          <w:rStyle w:val="FootnoteAnchor"/>
        </w:rPr>
        <w:footnoteReference w:id="3"/>
      </w:r>
      <w:r>
        <w:rPr/>
        <w:t xml:space="preserve"> Sin embargo, la provocación de Camnitzer resuena en la resistencia desencasillante que la obra de Rodríguez presenta literalmente a primera vista: resistencia a encajar, no solo en la historia oficial de la emancipación latinoamericana, sino también en la serie diacrónica que organiza la historia del arte y la literatura mundiales. </w:t>
      </w:r>
      <w:commentRangeStart w:id="1"/>
      <w:r>
        <w:rPr>
          <w:rFonts w:eastAsia="Cambria" w:cs="" w:ascii="Cambria" w:hAnsi="Cambria" w:asciiTheme="minorHAnsi" w:cstheme="minorBidi" w:eastAsiaTheme="minorHAnsi" w:hAnsiTheme="minorHAnsi"/>
          <w:shd w:fill="FFFF00" w:val="clear"/>
        </w:rPr>
        <w:t>Esto es efecto de lo que Rodríguez llamó “arte de pintar palabras”: la técnica de variar, distribuir y organizar los tipos móviles y llaves sobre las planchas de imprimir que postuló como una manera de “pintar los pensamientos”.</w:t>
      </w:r>
      <w:r>
        <w:rPr>
          <w:rFonts w:eastAsia="Cambria" w:cs="" w:ascii="Cambria" w:hAnsi="Cambria" w:asciiTheme="minorHAnsi" w:cstheme="minorBidi" w:eastAsiaTheme="minorHAnsi" w:hAnsiTheme="minorHAnsi"/>
          <w:shd w:fill="FFFF00" w:val="clear"/>
        </w:rPr>
      </w:r>
      <w:commentRangeEnd w:id="1"/>
      <w:r>
        <w:commentReference w:id="1"/>
      </w:r>
      <w:r>
        <w:rPr/>
        <w:t xml:space="preserve"> Básicamente, Rodríguez probó al menos setenta años antes que los vanguardistas europeos variaciones en alineamiento, grosor, tamaño, ubicación y tipos de fuente, para introducir un giro plástico en el arte de imprimir. </w:t>
      </w:r>
      <w:r>
        <w:rPr/>
        <w:t>Como se sabe, estas s</w:t>
      </w:r>
      <w:r>
        <w:rPr/>
        <w:t xml:space="preserve">on técnicas que se hicieron icónicas </w:t>
      </w:r>
      <w:r>
        <w:rPr/>
        <w:t xml:space="preserve">en </w:t>
      </w:r>
      <w:r>
        <w:rPr/>
        <w:t xml:space="preserve">de hitos de las artes liberales modernistas –o “vanguardias históricas”, como las llama Peter Burger: </w:t>
      </w:r>
      <w:r>
        <w:rPr>
          <w:i/>
          <w:iCs/>
        </w:rPr>
        <w:t>Un golpe de dados nunca abolirá el azar</w:t>
      </w:r>
      <w:r>
        <w:rPr/>
        <w:t xml:space="preserve"> de Mallarmé (1897), Huidobro, Apollinaire y los dadaístas en la década de 1910, y Girondo y Joyce en la década de 1930[figuras]</w:t>
      </w:r>
      <w:r>
        <w:rPr>
          <w:rFonts w:eastAsia="Cambria" w:cs="" w:ascii="Cambria" w:hAnsi="Cambria" w:asciiTheme="minorHAnsi" w:cstheme="minorBidi" w:eastAsiaTheme="minorHAnsi" w:hAnsiTheme="minorHAnsi"/>
          <w:shd w:fill="D4EA6B" w:val="clear"/>
        </w:rPr>
        <w:t xml:space="preserve">. </w:t>
      </w:r>
      <w:r>
        <w:rPr/>
        <w:t xml:space="preserve">Es decir, Camnitzer no hizo más que introducir una narración de Rodríguez en la misma comparación discrónica con las vanguardias históricas que su obra escrita ha motivado ampliamente en la tradición crítica, al menos desde la década de 1980 [mencionar a Schwarz, Castillo Zapata, Rama, Miliani]. Claro que es una analogía muy problemática, y requiere varias precisiones, que abordaré en la tercera sección de este capítulo. </w:t>
      </w:r>
    </w:p>
    <w:p>
      <w:pPr>
        <w:pStyle w:val="TextBody"/>
        <w:rPr/>
      </w:pPr>
      <w:r>
        <w:rPr/>
        <w:t>[figura: secuencia discrónica]</w:t>
      </w:r>
    </w:p>
    <w:p>
      <w:pPr>
        <w:pStyle w:val="FirstParagraph"/>
        <w:rPr/>
      </w:pPr>
      <w:commentRangeStart w:id="2"/>
      <w:r>
        <w:rPr/>
        <w:t>Primero</w:t>
      </w:r>
      <w:r>
        <w:rPr/>
      </w:r>
      <w:commentRangeEnd w:id="2"/>
      <w:r>
        <w:commentReference w:id="2"/>
      </w:r>
      <w:r>
        <w:rPr/>
        <w:t xml:space="preserve"> quiero detenerme en el problema que se hace más evidente cuando se contrasta la provocación de Camnitzer con el lugar que ocupa Simón Rodríguez en los medios de difusión y en la conversación intelectual global actual. Pues por muy desencasillante e irreverente que resulten la narración de los orinales y el vanguardismo </w:t>
      </w:r>
      <w:r>
        <w:rPr/>
        <w:t xml:space="preserve">discrónico en los objetos impresos </w:t>
      </w:r>
      <w:r>
        <w:rPr/>
        <w:t>de Rodríguez, su figura y su obra pertenecen a la iconografía nacionalista, a los epónimos y efemérides, al culto heroico, y a las discusiones pedagógicas, políticas, sociales, y en menor medida, de la historiografía cultural y culturalista latinoamericana especializada en el siglo XIX</w:t>
      </w:r>
      <w:r>
        <w:rPr/>
        <w:commentReference w:id="3"/>
      </w:r>
      <w:r>
        <w:rPr/>
        <w:t xml:space="preserve">. </w:t>
      </w:r>
    </w:p>
    <w:p>
      <w:pPr>
        <w:pStyle w:val="FirstParagraph"/>
        <w:rPr/>
      </w:pPr>
      <w:r>
        <w:rPr>
          <w:rFonts w:eastAsia="Cambria" w:cs="" w:ascii="Cambria" w:hAnsi="Cambria" w:asciiTheme="minorHAnsi" w:cstheme="minorBidi" w:eastAsiaTheme="minorHAnsi" w:hAnsiTheme="minorHAnsi"/>
          <w:shd w:fill="FFFF00" w:val="clear"/>
        </w:rPr>
        <w:t xml:space="preserve">Pero es precisamente la forma abrupta en que Camnitzer incorpora a Rodríguez en la historia de las vanguardias y del arte conceptual lo que facilita la lectura. </w:t>
      </w:r>
      <w:r>
        <w:rPr/>
        <w:t xml:space="preserve">En su Puede decirse que el método de “compota-salpicón” habilita la posibilidad de subrayar los rasgos de la obra de Rodríguez que dificultarían o impedirían esa incorporación. </w:t>
      </w:r>
      <w:r>
        <w:rPr/>
        <w:t>Pues p</w:t>
      </w:r>
      <w:r>
        <w:rPr/>
        <w:t xml:space="preserve">uesta en tensión con el anacronismo de Camnitzer, se hacen evidentes los lazos conceptuales, materiales y tecnológicos que la obra de Rodríguez mantuvo con su época, y que han sido opacadas por la mirada excepcionalista en la tradición crítica. Al ponerlo en más estrecha conversación con su tiempo –y no </w:t>
      </w:r>
      <w:r>
        <w:rPr/>
        <w:t xml:space="preserve">solamente </w:t>
      </w:r>
      <w:r>
        <w:rPr/>
        <w:t xml:space="preserve">por antagonismo sino </w:t>
      </w:r>
      <w:r>
        <w:rPr/>
        <w:t xml:space="preserve">también </w:t>
      </w:r>
      <w:r>
        <w:rPr/>
        <w:t xml:space="preserve">por afinidad--, pueden redimensionarse las potencias “desencasillantes” de su obra, ya no como excentricidades que lo sacan de su época o de su país para situarlo en unos más </w:t>
      </w:r>
      <w:r>
        <w:rPr/>
        <w:t>claramente ubicados en la historia mundial –en los epónimos que mencioné, serían Inglaterra, Francia o Rusia--</w:t>
      </w:r>
      <w:r>
        <w:rPr/>
        <w:t xml:space="preserve">, sino como dispositivos que </w:t>
      </w:r>
      <w:r>
        <w:rPr/>
        <w:t>se inflitran en los objetos técnicos</w:t>
      </w:r>
      <w:r>
        <w:rPr/>
        <w:t xml:space="preserve"> </w:t>
      </w:r>
      <w:r>
        <w:rPr/>
        <w:t xml:space="preserve">que organizan la historia lineal y </w:t>
      </w:r>
      <w:r>
        <w:rPr/>
        <w:t xml:space="preserve">homogénea, </w:t>
      </w:r>
      <w:r>
        <w:rPr/>
        <w:t xml:space="preserve">para subrayar sus discontinuidades y sus excesos reprimidos. Así, aparece un Rodríguez que </w:t>
      </w:r>
      <w:r>
        <w:rPr/>
        <w:t xml:space="preserve">sistemáticamente </w:t>
      </w:r>
      <w:r>
        <w:rPr/>
        <w:t xml:space="preserve">se opone </w:t>
      </w:r>
      <w:r>
        <w:rPr/>
        <w:t xml:space="preserve">a las nociones dominantes sobre progreso y modernidad en los centros globales de poder: </w:t>
      </w:r>
      <w:r>
        <w:rPr/>
        <w:t xml:space="preserve">tanto a </w:t>
      </w:r>
      <w:r>
        <w:rPr/>
        <w:t xml:space="preserve">las contemporáneas a él, </w:t>
      </w:r>
      <w:r>
        <w:rPr/>
        <w:t xml:space="preserve">que por regla general lo </w:t>
      </w:r>
      <w:r>
        <w:rPr/>
        <w:t xml:space="preserve">idolatraron, como </w:t>
      </w:r>
      <w:r>
        <w:rPr/>
        <w:t>las nociones pos</w:t>
      </w:r>
      <w:r>
        <w:rPr/>
        <w:t>teriores, --“modernistas”-- que lo condenaron en bloque.</w:t>
      </w:r>
    </w:p>
    <w:p>
      <w:pPr>
        <w:pStyle w:val="Heading2"/>
        <w:rPr/>
      </w:pPr>
      <w:r>
        <w:rPr/>
        <w:t xml:space="preserve">1. </w:t>
      </w:r>
      <w:commentRangeStart w:id="4"/>
      <w:r>
        <w:rPr/>
        <w:t>Un torrente “loco” entre la máscara heroica</w:t>
      </w:r>
      <w:commentRangeEnd w:id="4"/>
      <w:r>
        <w:commentReference w:id="4"/>
      </w:r>
      <w:r>
        <w:rPr/>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El “arte de pintar palabras” es la técnica que acerca a Rodríguez a algunos hitos de las “vanguardias históricas” en el arte de imprimir. Pero lo que le ha permitido circular ampliamente a estos textos más allá del muy restringido ámbito que le permirtían sus propios medios, no fue un interés artístico sino político y militar. Básicamente porque de Simón Bolívar Rodríguez fue maestro de primeras letras y tutor en la infancia; amigo, mentor filosófico, compañero de viajes, y --según un documento cuestionado pero disponible </w:t>
      </w:r>
      <w:r>
        <w:rPr>
          <w:rStyle w:val="FootnoteAnchor"/>
          <w:rFonts w:eastAsia="Cambria" w:cs="" w:ascii="Cambria" w:hAnsi="Cambria" w:asciiTheme="minorHAnsi" w:cstheme="minorBidi" w:eastAsiaTheme="minorHAnsi" w:hAnsiTheme="minorHAnsi"/>
          <w:shd w:fill="D4EA6B" w:val="clear"/>
        </w:rPr>
        <w:footnoteReference w:id="4"/>
      </w:r>
      <w:r>
        <w:rPr>
          <w:rFonts w:eastAsia="Cambria" w:cs="" w:ascii="Cambria" w:hAnsi="Cambria" w:asciiTheme="minorHAnsi" w:cstheme="minorBidi" w:eastAsiaTheme="minorHAnsi" w:hAnsiTheme="minorHAnsi"/>
          <w:shd w:fill="D4EA6B" w:val="clear"/>
        </w:rPr>
        <w:t xml:space="preserve">-- albacea y </w:t>
      </w:r>
      <w:r>
        <w:rPr>
          <w:rFonts w:eastAsia="Cambria" w:cs="" w:ascii="Cambria" w:hAnsi="Cambria" w:asciiTheme="minorHAnsi" w:cstheme="minorBidi" w:eastAsiaTheme="minorHAnsi" w:hAnsiTheme="minorHAnsi"/>
          <w:i/>
          <w:iCs/>
          <w:shd w:fill="D4EA6B" w:val="clear"/>
        </w:rPr>
        <w:t>coach</w:t>
      </w:r>
      <w:r>
        <w:rPr>
          <w:rFonts w:eastAsia="Cambria" w:cs="" w:ascii="Cambria" w:hAnsi="Cambria" w:asciiTheme="minorHAnsi" w:cstheme="minorBidi" w:eastAsiaTheme="minorHAnsi" w:hAnsiTheme="minorHAnsi"/>
          <w:shd w:fill="D4EA6B" w:val="clear"/>
        </w:rPr>
        <w:t xml:space="preserve"> motivacional en la primera juventud; y durante un breve período --en el que Rodríguez se convirtió en una de las personas más poderosas del Alto Perú-- algo así como su “mano”, en el sentido que alguien es “mano del rey”. El episodio de los orinales fuera de lugar ocurre de hecho al final de ese período, a principios de 1826, cuando Bolívar abandonó Bolivia y dejó a Sucre designado como presidente.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Las circunstancias  en que se dio la relación entre Bolívar y Rodríguez en Bolivia, y las circunstancias concretas en que Rodríguez adquirió ese poder --y cómo lo perdió-- l</w:t>
      </w:r>
      <w:r>
        <w:rPr>
          <w:rFonts w:eastAsia="Cambria" w:cs="" w:ascii="Cambria" w:hAnsi="Cambria" w:asciiTheme="minorHAnsi" w:cstheme="minorBidi" w:eastAsiaTheme="minorHAnsi" w:hAnsiTheme="minorHAnsi"/>
          <w:shd w:fill="FF0000" w:val="clear"/>
        </w:rPr>
        <w:t>as iré detallando, especialmente en los capítulos 2 y 4</w:t>
      </w:r>
      <w:r>
        <w:rPr>
          <w:rFonts w:eastAsia="Cambria" w:cs="" w:ascii="Cambria" w:hAnsi="Cambria" w:asciiTheme="minorHAnsi" w:cstheme="minorBidi" w:eastAsiaTheme="minorHAnsi" w:hAnsiTheme="minorHAnsi"/>
          <w:shd w:fill="D4EA6B" w:val="clear"/>
        </w:rPr>
        <w:t xml:space="preserve">. Ahora lo que me interesa es detenerme en un aspecto señalado en la crónica de Lastarria, que ofrece una clave para definir la relación entre la </w:t>
      </w:r>
      <w:r>
        <w:rPr>
          <w:rFonts w:eastAsia="Cambria" w:cs="" w:ascii="Cambria" w:hAnsi="Cambria" w:asciiTheme="minorHAnsi" w:cstheme="minorBidi" w:eastAsiaTheme="minorHAnsi" w:hAnsiTheme="minorHAnsi"/>
          <w:shd w:fill="FFFF00" w:val="clear"/>
        </w:rPr>
        <w:t>trama artística y literaria, y la trama heroica que envuelve la figura de Simón Rodríguez y atraviesa su obra. &lt;transición&gt;L</w:t>
      </w:r>
      <w:r>
        <w:rPr>
          <w:rFonts w:eastAsia="Cambria" w:cs="" w:ascii="Cambria" w:hAnsi="Cambria" w:asciiTheme="minorHAnsi" w:cstheme="minorBidi" w:eastAsiaTheme="minorHAnsi" w:hAnsiTheme="minorHAnsi"/>
          <w:shd w:fill="D4EA6B" w:val="clear"/>
        </w:rPr>
        <w:t xml:space="preserve">astarria es el primero y uno de los pocos en señalar con claridad el parentesco entre el “arte de pintar palabras” –lo que “el reformador enseñaba a pintar en la escritura”--y las habilidades de Rodríguez como narrador oral: &lt;&lt;Namely&gt;&gt;, el “énfasis i aquellas entonaciones elegantes” mediante las que Rodríguez le narra a Bello del “banquete” de La Paz para llevarlo hasta “fuera de sus casillas”.  La comparación de Lastarria propone, esencialmente, un rasgo en común entre la serie trazada por el Rodríguez narrador oral y serie la trazada por el Rodríguez escritor impreso. Una homología que se sostiene, además, en los principios sobre comunicación, arte y pedagogía en la obra de Rodríguez, pues él establecía una relación de dependencia y mutua determinación entre la forma de sus textos y el modo como los imaginaba escenificados –aunque no eran textos dramáticos sino filosóficos y polémicos[nota: anuncio de tratamiento detallado de estos aspectos en los capítulos 2 y 3]. Es decir, si bien las narraciones orales de Rodríguez no son escenificaciones de sus textos, una de las obsesiones de sus ensayos es subrayar la necesidad de encarnar los signos impresos en entonaciones y énfasis de la voz y del cuerpo.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&lt;Párrafo: mencionar a Rama Pulgar, Briggs, Rotker, Velayos y los que consiga en la antología de los mexicanos]. &gt;</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Sin embargo, ninguno de estos autores se detiene a analizar la analogía y funcionamiento simultáneo, cómplice y complementario, de las técnicas del Rodríguez narrador oral y el Rodríguez filósofo emancipatorio y artista de la impresión.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Claro que las narraciones orales de Rodríguez no son verificables. El “arte de pintar palabras”, en cambio, es analizable incluso en las versiones menos fidedignas a los originales, que conservan las variaciones en los estilos tipográficos, alineación y distribución de los espacios en blanco que la caracterizan [nota: sobre lo que observan Mondragón y compañía sobre las ediciones más o menos fidedignas]. De sus narraciones orales solo se conservan testimonios, de quienes incluso en algún caso no las observaron directamente –por ejemplo, ;;Lastarria reconoce que Bello y Rodríguez&lt;cita: estaban solos&gt;[pp]--, o la relataron mucho después que aconteció. Es decir, todo el despliegue de escenificación que relata Lastarria solo puede ser imaginado en un plano referencial y verificable a partir de esos pocos fragmentos, y de los principios que Rodríguez propone en su obra impresa sobre el rol de la prosodia, la gesticulación y las sensaciones para construir el sentido y persuadir. Mucho más dicen los choques que, desde su primera entrada en circulación impresa, quedan en evidencia en las tentativas de recorte y encasillamiento que operaron sobre él las máquinas de signos de la historia oficial.</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Estos choques han sido constantes porque una de las narraciones orales de Rodríguez se convirtió en un mito central para darle dimensión heroica a la gesta político-militar de la independencia y en el relato más importante del culto bolivariano. Me refiero al texto del “Juramento en el Monte Sacro”, que como veremos no es más que el fragmento editado de una narración oral de Simón Rodríguez. Al entrar en el mercado literario, ese texto se volvió uno de los grandes éxitos de la historia oficial, pero arrastró consigo a un testigo que no dejó –ni ha dejado-- de resultar incómodo, por las discontinuidades y excesos que atraviesan tanto su escritura como sus otras narraciones orales recogidas por terceros. Lo que me propongo en esta sección </w:t>
      </w:r>
      <w:r>
        <w:rPr>
          <w:rFonts w:eastAsia="Cambria" w:cs="" w:ascii="Cambria" w:hAnsi="Cambria" w:asciiTheme="minorHAnsi" w:cstheme="minorBidi" w:eastAsiaTheme="minorHAnsi" w:hAnsiTheme="minorHAnsi"/>
          <w:shd w:fill="D4EA6B" w:val="clear"/>
        </w:rPr>
        <w:t xml:space="preserve">es </w:t>
      </w:r>
      <w:r>
        <w:rPr>
          <w:rFonts w:eastAsia="Cambria" w:cs="" w:ascii="Cambria" w:hAnsi="Cambria" w:asciiTheme="minorHAnsi" w:cstheme="minorBidi" w:eastAsiaTheme="minorHAnsi" w:hAnsiTheme="minorHAnsi"/>
          <w:shd w:fill="D4EA6B" w:val="clear"/>
        </w:rPr>
        <w:t xml:space="preserve">un análisis conjunto de las dos series rodrigueanas: la que lo inscribe como  un personaje central para la formación del héroe bolivariano, y la que lo erige como caso límite, </w:t>
      </w:r>
      <w:r>
        <w:rPr>
          <w:rFonts w:eastAsia="Cambria" w:cs="" w:ascii="Cambria" w:hAnsi="Cambria" w:asciiTheme="minorHAnsi" w:cstheme="minorBidi" w:eastAsiaTheme="minorHAnsi" w:hAnsiTheme="minorHAnsi"/>
          <w:shd w:fill="D4EA6B" w:val="clear"/>
        </w:rPr>
        <w:t>desencajado, solo asimilable mediante la rostrificación de figuras más o menos límite en la historia cultural europea</w:t>
      </w:r>
      <w:r>
        <w:rPr>
          <w:rFonts w:eastAsia="Cambria" w:cs="" w:ascii="Cambria" w:hAnsi="Cambria" w:asciiTheme="minorHAnsi" w:cstheme="minorBidi" w:eastAsiaTheme="minorHAnsi" w:hAnsiTheme="minorHAnsi"/>
          <w:shd w:fill="D4EA6B" w:val="clear"/>
        </w:rPr>
        <w:t xml:space="preserve">. </w:t>
      </w:r>
      <w:r>
        <w:rPr>
          <w:rFonts w:eastAsia="Cambria" w:cs="" w:ascii="Cambria" w:hAnsi="Cambria" w:asciiTheme="minorHAnsi" w:cstheme="minorBidi" w:eastAsiaTheme="minorHAnsi" w:hAnsiTheme="minorHAnsi"/>
          <w:shd w:fill="D4EA6B" w:val="clear"/>
        </w:rPr>
        <w:t xml:space="preserve">Para esto, </w:t>
      </w:r>
      <w:r>
        <w:rPr>
          <w:rFonts w:eastAsia="Cambria" w:cs="" w:ascii="Cambria" w:hAnsi="Cambria" w:asciiTheme="minorHAnsi" w:cstheme="minorBidi" w:eastAsiaTheme="minorHAnsi" w:hAnsiTheme="minorHAnsi"/>
          <w:shd w:fill="D4EA6B" w:val="clear"/>
        </w:rPr>
        <w:t xml:space="preserve">rastreo </w:t>
      </w:r>
      <w:r>
        <w:rPr>
          <w:rFonts w:eastAsia="Cambria" w:cs="" w:ascii="Cambria" w:hAnsi="Cambria" w:asciiTheme="minorHAnsi" w:cstheme="minorBidi" w:eastAsiaTheme="minorHAnsi" w:hAnsiTheme="minorHAnsi"/>
          <w:shd w:fill="FFFF00" w:val="clear"/>
        </w:rPr>
        <w:t>el chisme que asciende a la historia oficial, y muestro cómo estos dos registros se combinan para infiltrarse en la maquinaria ideológica del Estado, y subrayar e incluso exagerar las discontinuidades y los excesos que esta trata de anular.</w:t>
      </w:r>
    </w:p>
    <w:p>
      <w:pPr>
        <w:pStyle w:val="TextBody"/>
        <w:ind w:left="0" w:right="0" w:hanging="0"/>
        <w:rPr/>
      </w:pPr>
      <w:r>
        <w:rPr>
          <w:rFonts w:eastAsia="Cambria" w:cs="" w:ascii="Cambria" w:hAnsi="Cambria" w:asciiTheme="minorHAnsi" w:cstheme="minorBidi" w:eastAsiaTheme="minorHAnsi" w:hAnsiTheme="minorHAnsi"/>
          <w:shd w:fill="FFFF00" w:val="clear"/>
        </w:rPr>
        <w:tab/>
        <w:t>Hago esta exploración atento al impacto que el efecto discrónico de la obra de Rodríguez ha tenido en la lectura crítica. Como señala Camila (</w:t>
      </w:r>
      <w:r>
        <w:rPr>
          <w:rFonts w:eastAsia="Cambria" w:cs="" w:ascii="Cambria" w:hAnsi="Cambria" w:asciiTheme="minorHAnsi" w:cstheme="minorBidi" w:eastAsiaTheme="minorHAnsi" w:hAnsiTheme="minorHAnsi"/>
          <w:b/>
          <w:bCs/>
          <w:shd w:fill="FFFF00" w:val="clear"/>
        </w:rPr>
        <w:t>machadoPreguntasSobreAutoridad?</w:t>
      </w:r>
      <w:r>
        <w:rPr>
          <w:rFonts w:eastAsia="Cambria" w:cs="" w:ascii="Cambria" w:hAnsi="Cambria" w:asciiTheme="minorHAnsi" w:cstheme="minorBidi" w:eastAsiaTheme="minorHAnsi" w:hAnsiTheme="minorHAnsi"/>
          <w:shd w:fill="FFFF00" w:val="clear"/>
        </w:rPr>
        <w:t>), esta ha estado tradicionalmente atravesada por una mirada que opaca su relación con las condiciones de posibilidad histórica que le dieron lugar como acontecimiento (pp). Dicho de otra forma: antes de avanzar hacia la ponderación del valor estrictamente artístico-vanguardista de la obra de Rodríguez –implícito en la homología que Camnitzer plantea con Duchamp--, hay que definir lo que hay en Rodríguez que</w:t>
      </w:r>
      <w:r>
        <w:rPr>
          <w:rFonts w:eastAsia="Cambria" w:cs="" w:ascii="Cambria" w:hAnsi="Cambria" w:asciiTheme="minorHAnsi" w:cstheme="minorBidi" w:eastAsiaTheme="minorHAnsi" w:hAnsiTheme="minorHAnsi"/>
          <w:i/>
          <w:iCs/>
          <w:shd w:fill="FFFF00" w:val="clear"/>
        </w:rPr>
        <w:t xml:space="preserve"> no</w:t>
      </w:r>
      <w:r>
        <w:rPr>
          <w:rFonts w:eastAsia="Cambria" w:cs="" w:ascii="Cambria" w:hAnsi="Cambria" w:asciiTheme="minorHAnsi" w:cstheme="minorBidi" w:eastAsiaTheme="minorHAnsi" w:hAnsiTheme="minorHAnsi"/>
          <w:i w:val="false"/>
          <w:iCs w:val="false"/>
          <w:shd w:fill="FFFF00" w:val="clear"/>
        </w:rPr>
        <w:t xml:space="preserve"> pertenece al orden de la irreverencia y la disrrupción, sino de la voluntad de poder y de orden. Porque, </w:t>
      </w:r>
      <w:r>
        <w:rPr>
          <w:rFonts w:eastAsia="Cambria" w:cs="" w:ascii="Cambria" w:hAnsi="Cambria" w:asciiTheme="minorHAnsi" w:cstheme="minorBidi" w:eastAsiaTheme="minorHAnsi" w:hAnsiTheme="minorHAnsi"/>
          <w:shd w:fill="FFFF00" w:val="clear"/>
        </w:rPr>
        <w:t xml:space="preserve">como sugiere Javier Lasarte Valcárcel, la homología directa entre el “arte de pintar palabras” de Rodríguez y los hitos de experimentación tipográfica de las “vanguardias históricas” puede favorecer una interpretación unívocamente contracultural de su obra, que la aisla de los intereses históricos que la motorizan (pp). Como mostraré, la tradición crítica que caracterizó a Rodríguez bajo coordenadas del vanguardismo y la contracultura, continuó una lectura excepcionalista de su obra que se inció a mediados del siglo XX, cuando el primer “rescate” de Rodríguez lo presentó como un romántico individualista. Por eso en la segunda sección del capítulo analizo algunas tentativas críticas del canon latinoamericanista que tipificaron a Rodríguez como un epígono americano del romanticismo, y especialmente de Jean Jacques Rousseau. En esta sección recurro a una narración oral, en la que Rodríguez deliberadamente ofrece una versión falsificada de su vida a un viajero francés, que luego se convirtió en la referncia central para “rostrificar” a Rodríguez como Rousseau tropicalizado [nota: adelanto de cómo uso el concepto de Deleuze y Guattari]. </w:t>
      </w:r>
    </w:p>
    <w:p>
      <w:pPr>
        <w:pStyle w:val="TextBody"/>
        <w:ind w:left="0" w:right="0" w:hanging="0"/>
        <w:rPr/>
      </w:pPr>
      <w:r>
        <w:rPr>
          <w:rFonts w:eastAsia="Cambria" w:cs="" w:ascii="Cambria" w:hAnsi="Cambria" w:asciiTheme="minorHAnsi" w:cstheme="minorBidi" w:eastAsiaTheme="minorHAnsi" w:hAnsiTheme="minorHAnsi"/>
          <w:shd w:fill="FFFF00" w:val="clear"/>
        </w:rPr>
        <w:tab/>
        <w:t>Finalmente, en la tercera sección examino la discusión impresa e intelectual de la que Rodríguez fue contemporáneo, para poner en perspectiva los aspectos de su obra que han sido comparados u homologados con el arte de vanguardia del siglo XX. En este diálogo tengo presentes contribuciones del siglo XXI, como las de Ronald Briggs, y los mismos Lasarte Valcárcel y Camnitzer (</w:t>
      </w:r>
      <w:r>
        <w:rPr>
          <w:rFonts w:eastAsia="Cambria" w:cs="" w:ascii="Cambria" w:hAnsi="Cambria" w:asciiTheme="minorHAnsi" w:cstheme="minorBidi" w:eastAsiaTheme="minorHAnsi" w:hAnsiTheme="minorHAnsi"/>
          <w:i/>
          <w:iCs/>
          <w:shd w:fill="FFFF00" w:val="clear"/>
        </w:rPr>
        <w:t>Conceptualism in Latin American art</w:t>
      </w:r>
      <w:r>
        <w:rPr>
          <w:rFonts w:eastAsia="Cambria" w:cs="" w:ascii="Cambria" w:hAnsi="Cambria" w:asciiTheme="minorHAnsi" w:cstheme="minorBidi" w:eastAsiaTheme="minorHAnsi" w:hAnsiTheme="minorHAnsi"/>
          <w:shd w:fill="FFFF00" w:val="clear"/>
        </w:rPr>
        <w:t xml:space="preserve">), que ofrecen claves para detectar la proximidad de Rodríguez, tanto a la voluntad fundacional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esta lectura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 </w:t>
      </w:r>
      <w:bookmarkStart w:id="0" w:name="Xe854bdbd5f6928931c19c500bb12e362e254020"/>
    </w:p>
    <w:p>
      <w:pPr>
        <w:pStyle w:val="Heading3"/>
        <w:rPr/>
      </w:pPr>
      <w:r>
        <w:rPr/>
        <w:t>Carta de presentación</w:t>
      </w:r>
    </w:p>
    <w:p>
      <w:pPr>
        <w:pStyle w:val="TextBody"/>
        <w:ind w:left="0" w:right="0" w:hanging="0"/>
        <w:rPr/>
      </w:pPr>
      <w:r>
        <w:rPr>
          <w:rFonts w:eastAsia="Cambria" w:cs="" w:ascii="Cambria" w:hAnsi="Cambria" w:asciiTheme="minorHAnsi" w:cstheme="minorBidi" w:eastAsiaTheme="minorHAnsi" w:hAnsiTheme="minorHAnsi"/>
          <w:shd w:fill="FFFF00" w:val="clear"/>
        </w:rPr>
        <w:tab/>
        <w:t xml:space="preserve">&lt;transición: cuando se termina de sembrar el vínculo que, años después, habilitó la entrada de Rodríguez en los asuntos públicos americanos, desde lo más alto de las jerarquías&gt; </w:t>
      </w:r>
      <w:r>
        <w:rPr/>
        <w:t xml:space="preserve">Tras enviudar en Venezuela prematuramente –a los 21 años–, Bolívar se fue a Europa a vivir lo que en la carta se describe como un “estado de consunción” en el que morir “era lo que yo deseaba”. Según carta de Bolívar a su prima y amante Fanny de Villars, en 1804, se encontró con Rodríguez en Viena, que para entonces vivía ahí trabajando como asistente en un laboratorio de química[nota: este es el documento cuestionado al que me referí, según el cual Rodríguez fue su albacea y </w:t>
      </w:r>
      <w:r>
        <w:rPr>
          <w:i/>
          <w:iCs/>
        </w:rPr>
        <w:t>coach</w:t>
      </w:r>
      <w:r>
        <w:rPr>
          <w:i w:val="false"/>
          <w:iCs w:val="false"/>
        </w:rPr>
        <w:t xml:space="preserve"> motivacional</w:t>
      </w:r>
      <w:r>
        <w:rPr/>
        <w:t>]. Para sacarlo del estado en que se encontraba, Rodríguez le hizo saber a Bolívar la suma de dinero de la que disponía, y lo convenció de hacer un viaje a pie –al menos en su mayor parte– hacia el sur, que los llevó hasta más allá de Roma (Lozano y Lozano 55–59). El impacto de este viaje en el futuro general caribeño de fama mundial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camino épico a la gloria –figurado, desde luego, porque entre 1810 y 1824 Rodríguez ni siquiera estaba en América–, y en medio de paroxismos de entusiasmo y devoción que detallaré más adelante, le recuerda el “Juramento” que hicieron en Roma en 1805, mientras literalmente le imploró que fuera a unirse a él en Perú (Lecuna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FootnoteAnchor"/>
        </w:rPr>
        <w:footnoteReference w:id="5"/>
      </w:r>
      <w:r>
        <w:rPr/>
        <w:t xml:space="preserve">–, el joven rico y civil Simón Antonio de la Trinidad Bolívar y Palacios, decepcionado ante la deriva imperial del proyecto republicano francés que acaba de atestiguar en Milán, juró ante su maestro y amigo </w:t>
      </w:r>
      <w:r>
        <w:rPr/>
        <w:t xml:space="preserve">algo así como </w:t>
      </w:r>
      <w:r>
        <w:rPr/>
        <w:t xml:space="preserve">que “no daré descanso a mi brazo ni reposo a mi alma hasta no ver a la América libre de las cadenas que la oprimen por voluntad del poder español” (Uribe Ángel pp) </w:t>
      </w:r>
      <w:r>
        <w:rPr/>
        <w:t>[nota: “algo así” porque se trata de una reconstrucción]</w:t>
      </w:r>
      <w:r>
        <w:rPr/>
        <w:t xml:space="preserve">. Escena que tiene ingredientes tan apetecibles para un entramado heroico-romántico como solo un joven caribeño en una colina rodeado de ruinas romanas prefigurando su destino glorioso los puede tener. Pero que con todos esos ingredientes también dio entrada en la historia a un testigo que resultaría </w:t>
      </w:r>
      <w:r>
        <w:rPr/>
        <w:t xml:space="preserve">en principio </w:t>
      </w:r>
      <w:r>
        <w:rPr/>
        <w:t xml:space="preserve">incómodo, </w:t>
      </w:r>
      <w:r>
        <w:rPr/>
        <w:t>y hasta cierto punto aún inasimilable</w:t>
      </w:r>
      <w:r>
        <w:rPr/>
        <w:t xml:space="preserve"> para ese mismo entramado </w:t>
      </w:r>
      <w:r>
        <w:rPr>
          <w:rStyle w:val="FootnoteAnchor"/>
        </w:rPr>
        <w:footnoteReference w:id="6"/>
      </w:r>
      <w:r>
        <w:rPr/>
        <w:t>.</w:t>
      </w:r>
    </w:p>
    <w:p>
      <w:pPr>
        <w:pStyle w:val="TextBody"/>
        <w:rPr/>
      </w:pPr>
      <w:r>
        <w:rPr/>
        <w:t xml:space="preserve">El carácter incómodo del testigo se empieza a gestar también en la carta de Bolívar de 1824. Con la misma euforia que le imploró que fuera a unirse a él, lo recibió en Cuzco, e instantáneamente lo incorporó en su primer círculo de seguridad y confianza. Estuvieron juntos en el trayecto hasta el Alto Perú, donde, como detallo en el próximo capítulo, Bolívar expidió una serie de decretos para la distribución de bienes y recursos, y para la secularización de la vida pública, cuya autoría intelectual es atribuida a Rodríguez por varios biógrafos e historiadores. Ya en el Alto Perú le siguió otra serie de decretos, hechos a la medida de las reformas –¿o revolución?– que iba a impulsar Rodríguez en la recién fundada república amparado por singular combinación de atribuciones que el gobierno presidido por Bolívar le asignó: “Minas, Agricultura, Caminos, y Enseñanza de Física, Química y Matemáticas”. 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FootnoteAnchor"/>
        </w:rPr>
        <w:footnoteReference w:id="7"/>
      </w:r>
      <w:r>
        <w:rPr/>
        <w:t>, es decir, en cierta forma fue el acontecimiento generador del “arte de pintar palabras”.</w:t>
      </w:r>
    </w:p>
    <w:p>
      <w:pPr>
        <w:pStyle w:val="TextBody"/>
        <w:rPr/>
      </w:pPr>
      <w:r>
        <w:rPr/>
        <w:t xml:space="preserve">Claro que </w:t>
      </w:r>
      <w:r>
        <w:rPr/>
        <w:t xml:space="preserve">lo que ha sido canonizado de Rodríguez en más evocaciones iconográficas, y repetido mecánicamente en más situaciones protocolares, escolares, proselitistas y turísticas durante casi siglo y medio </w:t>
      </w:r>
      <w:r>
        <w:rPr>
          <w:i/>
          <w:iCs/>
        </w:rPr>
        <w:t>no</w:t>
      </w:r>
      <w:r>
        <w:rPr/>
        <w:t xml:space="preserve"> fue el “arte de pintar palabras” sino, precisamente, el “Juramento”: “no daré descanso a mi brazo ni reposo a mi alma”, etcétera. Texto que, como nos recuerda Susana Susana Rotker, no es un discurso de Bolívar, sino lo que en 1884 publicó Uribe Ángel, que le dijo Rodríguez en 1850, que se lo escuchó a Bolívar en 1805 (pp). Como veremos, el texto del “Juramento” que se le atribuye a Bolívar proviene de la crónica publicada por Uribe Ángel “El Libertador, su ayo y su Capellán”, y es la transcripción de un supuesto testimonio de Simón Rodríguez. De hecho, un fragmento del “Juramento” mayor al usualmente atribuído a Bolívar se incluye en las </w:t>
      </w:r>
      <w:r>
        <w:rPr>
          <w:i/>
          <w:iCs/>
        </w:rPr>
        <w:t>Obras completas</w:t>
      </w:r>
      <w:r>
        <w:rPr/>
        <w:t xml:space="preserve"> de Rodríguez.</w:t>
      </w:r>
    </w:p>
    <w:p>
      <w:pPr>
        <w:pStyle w:val="TextBody"/>
        <w:rPr/>
      </w:pPr>
      <w:bookmarkStart w:id="1"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Es decir, el solemne, heroico y pomposo discurso del “Juramento”, pertenece en estricto sentido a la misma serie que el “banquete” en que le sirvieron al Gran Mariscal de Ayacucho y su “estado mayor” la comida en “orinales de loza nuevos”: la serie de los relatos introducidos a la historia oficial por el Rodríguez narrador. Por eso en esta sección trazo la tensión que se gestó entre ese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por derecho propio.</w:t>
      </w:r>
      <w:bookmarkEnd w:id="1"/>
    </w:p>
    <w:p>
      <w:pPr>
        <w:pStyle w:val="Heading3"/>
        <w:rPr/>
      </w:pPr>
      <w:bookmarkStart w:id="2" w:name="las-huellas-borradas-de-la-narración"/>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los mecanismos mediante los cuales se trató de borrar la huella de Rodríguez que quedó impresa en ese mito, que son también los mecanismos mediante los cuales su figura quedó adherida a él.</w:t>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 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Simón Rodríguez, Maestro de América</w:t>
      </w:r>
      <w: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FootnoteAnchor"/>
        </w:rPr>
        <w:footnoteReference w:id="8"/>
      </w:r>
      <w:r>
        <w:rPr/>
        <w:t>. Aún en la misma publicación que imprimió el testimonio de Uribe Ángel hay al menos una decena de escritos líricos de distintos autores que lo evocan</w:t>
      </w:r>
      <w:r>
        <w:rPr>
          <w:rStyle w:val="FootnoteAnchor"/>
        </w:rPr>
        <w:footnoteReference w:id="9"/>
      </w:r>
      <w:r>
        <w:rPr/>
        <w:t>.</w:t>
      </w:r>
    </w:p>
    <w:p>
      <w:pPr>
        <w:pStyle w:val="TextBody"/>
        <w:rPr/>
      </w:pPr>
      <w:r>
        <w:rPr/>
        <w:t xml:space="preserve">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w:t>
      </w:r>
    </w:p>
    <w:p>
      <w:pPr>
        <w:pStyle w:val="TextBody"/>
        <w:rPr/>
      </w:pPr>
      <w:r>
        <w:rPr/>
      </w:r>
    </w:p>
    <w:p>
      <w:pPr>
        <w:pStyle w:val="TextBody"/>
        <w:rPr/>
      </w:pPr>
      <w:r>
        <w:rPr/>
        <w:t>[figura: fotografía de archivo público de la obra de 1910 y fotografía de archivo propio de la obra de 1950].</w:t>
      </w:r>
    </w:p>
    <w:p>
      <w:pPr>
        <w:pStyle w:val="TextBody"/>
        <w:rPr/>
      </w:pPr>
      <w:r>
        <w:rPr/>
      </w:r>
    </w:p>
    <w:p>
      <w:pPr>
        <w:pStyle w:val="TextBody"/>
        <w:rPr/>
      </w:pPr>
      <w:r>
        <w:rPr/>
        <w:t xml:space="preserve">Pero en la misma iconografía se asoman las huellas de la narración. </w:t>
      </w:r>
      <w:r>
        <w:rPr/>
        <w:t>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Frente al espectador, observa al Libertador, quien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TextBody"/>
        <w:rPr/>
      </w:pPr>
      <w:commentRangeStart w:id="5"/>
      <w:r>
        <w:rPr/>
        <w:t xml:space="preserve">Hago estas precisiones porque lo que me interesa en este capítulo es trazar cómo la organización histórica lidió con las potencias desencasillantes contenidas en la narración de Rodríguez. Examinar los rasgos que varían y los rasgos que se mantienen a lo largo de distintas reproducciones y versiones del “Juramento” ofrece una clave para reconocer cómo su obra y su figura han chocado y negociado en distintos momentos de la con las tentativas de estabilización y asimilación representacional por parte del </w:t>
      </w:r>
      <w:r>
        <w:rPr>
          <w:i/>
          <w:iCs/>
        </w:rPr>
        <w:t>statu quo</w:t>
      </w:r>
      <w:r>
        <w:rPr/>
        <w:t xml:space="preserve">. </w:t>
      </w:r>
      <w:r>
        <w:rPr/>
      </w:r>
      <w:commentRangeEnd w:id="5"/>
      <w:r>
        <w:commentReference w:id="5"/>
      </w:r>
      <w:r>
        <w:rPr/>
        <w:t>Por eso me seguiré aproximando diacrónicamente a esas tentativas, lo cual además facilitará hacer una breve revisión de la asimiliación de Rodríguez, no solo por los aparatos ideológicos de Estado, sino por la crítica contemporánea, donde aparecen también repetidas tentativas de estabilización y asimilación</w:t>
      </w:r>
      <w:bookmarkEnd w:id="2"/>
      <w:r>
        <w:rPr/>
        <w:t>.</w:t>
      </w:r>
    </w:p>
    <w:p>
      <w:pPr>
        <w:pStyle w:val="TextBody"/>
        <w:rPr/>
      </w:pPr>
      <w:bookmarkStart w:id="3" w:name="el-arriba-y-el-abajo"/>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 xml:space="preserve">El primer desborde en el texto es la desestabilización de la relación jerárquica que existe entre Rodríguez y Bolívar en la iconografía. Esta –que, como hemos visto, es expresada como un diferencial en el eje X a lo largo de las representaciones–, se </w:t>
      </w:r>
      <w:r>
        <w:rPr/>
        <w:t>altera</w:t>
      </w:r>
      <w:r>
        <w:rPr/>
        <w:t xml:space="preserve">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FootnoteAnchor"/>
        </w:rPr>
        <w:footnoteReference w:id="10"/>
      </w:r>
      <w:r>
        <w:rPr/>
        <w:t xml:space="preserve">, pero también una voluntad de reconocimiento de su propia relevancia, independientemente de su relación con Bolívar. Esta voluntad se puede detallar en distintos momentos su obra publicada </w:t>
      </w:r>
      <w:r>
        <w:rPr/>
        <w:t>[</w:t>
      </w:r>
      <w:r>
        <w:rPr/>
        <w:t>nota : aquí menciono el señalamiento de Lasarte Valcárcel, sobre la insistencia en llevar sus textos a la imprenta para que sepan que él fue el primero en plantear sus ideas, y señalo varios momentos en que explícitamente reclama que se le reconozca como visionario</w:t>
      </w:r>
      <w:r>
        <w:rPr/>
        <w:t>]</w:t>
      </w:r>
      <w:r>
        <w:rPr/>
        <w:t xml:space="preserve">, y </w:t>
      </w:r>
      <w:r>
        <w:rPr/>
        <w:t>aquí</w:t>
      </w:r>
      <w:r>
        <w:rPr/>
        <w:t xml:space="preserve"> se hace patente cuando </w:t>
      </w:r>
      <w:r>
        <w:rPr/>
        <w:t xml:space="preserve">indica el la crónica </w:t>
      </w:r>
      <w:r>
        <w:rPr/>
        <w:t>que, al reencontrarse con Bolívar en Perú, “[é]l me manifestó sus proyectos y yo le manifesté los míos” (73).</w:t>
      </w:r>
    </w:p>
    <w:p>
      <w:pPr>
        <w:pStyle w:val="TextBody"/>
        <w:rPr/>
      </w:pPr>
      <w:r>
        <w:rPr/>
        <w:t>La desestabilización de la jerarquía se reafirmó en las cartas que publicó</w:t>
      </w:r>
      <w:commentRangeStart w:id="6"/>
      <w:r>
        <w:rPr/>
        <w:t xml:space="preserve"> Lozano y Lozano en 1913 en su biografí</w:t>
      </w:r>
      <w:r>
        <w:rPr/>
      </w:r>
      <w:commentRangeEnd w:id="6"/>
      <w:r>
        <w:commentReference w:id="6"/>
      </w:r>
      <w:r>
        <w:rPr/>
        <w:t xml:space="preserve">a. Estas fueron impresas en París junto al testimonio de Uribe Ángel, entre muchos otros documentos. En una de estas cartas, Rodríguez le escribe a Bolívar que “a esa bajeza [disculparse] descienden los súbditos, no los amigos” (Lozano y Lozano 121). En otra, como señalamos, Lecuna llama a Rodríguez no solo “maestro”, sino “mi piloto” y “mi guía” en sus campañas heroicas. Además, prácticamente le implora a Rodríguez que vaya a reunirse con él, en nombre de su amistad (pp). </w:t>
      </w:r>
      <w:commentRangeStart w:id="7"/>
      <w:r>
        <w:rPr/>
        <w:t>Por otra parte,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w:t>
      </w:r>
      <w:r>
        <w:rPr/>
        <w:t xml:space="preserve">[lado] </w:t>
      </w:r>
      <w:r>
        <w:rPr/>
        <w:t xml:space="preserve">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964) </w:t>
      </w:r>
      <w:r>
        <w:rPr>
          <w:rStyle w:val="FootnoteAnchor"/>
        </w:rPr>
        <w:footnoteReference w:id="11"/>
      </w:r>
      <w:r>
        <w:rPr/>
        <w:t>.</w:t>
      </w:r>
      <w:commentRangeEnd w:id="7"/>
      <w:r>
        <w:commentReference w:id="7"/>
      </w:r>
      <w:r>
        <w:rPr/>
      </w:r>
    </w:p>
    <w:p>
      <w:pPr>
        <w:pStyle w:val="FirstParagraph"/>
        <w:rPr/>
      </w:pPr>
      <w:r>
        <w:rPr/>
        <w:t>Rodríguez tenía también en altísima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 Pero las variaciones que aparecen entre 1911 y 1950 en l</w:t>
      </w:r>
      <w:r>
        <w:rPr/>
        <w:t>as pinturas</w:t>
      </w:r>
      <w:r>
        <w:rPr/>
        <w:t xml:space="preserve"> de Salas en Caracas no son menos significativas: Simón Rodríguez, pasa de ser una figura incógnita, reverencial y solemne, a ser un cuerpo desenfadado y autosuficiente, que mira hacia el espectador desde el suelo mientras Bolívar mira de pie a un punto fuera de campo. En esas variaciones se cifra la asimilación contenida de lo que el texto del “Juramento” arrastró consigo a la circulación impresa.</w:t>
      </w:r>
    </w:p>
    <w:p>
      <w:pPr>
        <w:pStyle w:val="TextBody"/>
        <w:rPr/>
      </w:pPr>
      <w:r>
        <w:rPr/>
      </w:r>
    </w:p>
    <w:p>
      <w:pPr>
        <w:pStyle w:val="TextBody"/>
        <w:rPr/>
      </w:pPr>
      <w:r>
        <w:rPr/>
        <w:t>[figura: paralelo de las dos versiones con cuadrado sin relleno sobre Rodríguez]</w:t>
      </w:r>
    </w:p>
    <w:p>
      <w:pPr>
        <w:pStyle w:val="TextBody"/>
        <w:rPr/>
      </w:pPr>
      <w:r>
        <w:rPr/>
      </w:r>
    </w:p>
    <w:p>
      <w:pPr>
        <w:pStyle w:val="TextBody"/>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w:t>
      </w:r>
      <w:r>
        <w:rPr>
          <w:b/>
          <w:bCs/>
        </w:rPr>
        <w:t>merbilhaaMediacionesCulturalesComercio?</w:t>
      </w:r>
      <w:r>
        <w:rPr/>
        <w:t>).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3"/>
    </w:p>
    <w:p>
      <w:pPr>
        <w:pStyle w:val="Heading3"/>
        <w:rPr/>
      </w:pPr>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xml:space="preserve">,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[;LozanoYLozano 17-19]. </w:t>
      </w:r>
    </w:p>
    <w:p>
      <w:pPr>
        <w:pStyle w:val="FirstParagraph"/>
        <w:rPr/>
      </w:pPr>
      <w:r>
        <w:rPr/>
        <w:t>Lozano y Lozano entramó los mismos materiales que hasta entonces se habían empleado para desacreditar a Rodríguez –y a través de él a Bolívar–</w:t>
      </w:r>
      <w:r>
        <w:rPr>
          <w:rStyle w:val="FootnoteAnchor"/>
        </w:rPr>
        <w:footnoteReference w:id="12"/>
      </w:r>
      <w:r>
        <w:rPr/>
        <w:t xml:space="preserve">, y los reinscribió como fuente de valor revolucionario y marca de autenticidad. El desate y el desborde que observaba Uribe Ángel se puso en la narración de Lozano y Lozano “al servicio de la razón” y del heroismo. Es del “estado morboso” de la inteligencia de Rodríguez de donde derivan “la violencia para resistir” y “la esperanza y el heroismo inextinguibles” de Bolívar. En ese horizonte parece menos peligroso que Rodríguez muestre el rostro, o que esa “inteligencia morbosa” opere en una narración donde “[e]l maestro se copia en el discípulo, y deja en él un retrato y semejanza suya” (Lozano y Lozano 24, 16). </w:t>
      </w:r>
      <w:r>
        <w:rPr/>
        <w:t xml:space="preserve">En este sentido, se puede decir que </w:t>
      </w:r>
      <w:r>
        <w:rPr/>
        <w:t xml:space="preserve">caminó sobre hielo delgado, considerando que se anotaba entre quienes “rendimos culto casi de adoración a la memoria de Bolívar” (14). </w:t>
      </w:r>
    </w:p>
    <w:p>
      <w:pPr>
        <w:pStyle w:val="FirstParagraph"/>
        <w:rPr/>
      </w:pPr>
      <w:r>
        <w:rPr/>
        <w:t xml:space="preserve">Como estableció Carrera Damas en su emblemática obra de 1969, </w:t>
      </w:r>
      <w:r>
        <w:rPr>
          <w:i/>
          <w:iCs/>
        </w:rPr>
        <w:t>El culto a Bolívar,</w:t>
      </w:r>
      <w:r>
        <w:rPr/>
        <w:t xml:space="preserve"> el conjunto de prácticas y mitos seculares organizadas alrededor de la personalidad del Libertador tuvo su origen y su impacto más significativo en Venezuela. Sin embargo, su alcance tuvo un radio supranacional, como lo evidencia esta adscripción manifiesta por el colombiano en 1913. Pero los materiales de y sobre Rodríguez que Lozano y Lozano organizó en </w:t>
      </w:r>
      <w:r>
        <w:rPr>
          <w:i/>
          <w:iCs/>
        </w:rPr>
        <w:t>El maestro del Libertador</w:t>
      </w:r>
      <w:r>
        <w:rPr/>
        <w:t xml:space="preserve"> eran potencialmente desestabilizadores de la fe que el biógrafo profesaba. 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 Sin embargo, este peligro se conjura con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 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w:t>
      </w:r>
      <w:r>
        <w:rPr>
          <w:b/>
          <w:bCs/>
        </w:rPr>
        <w:t>lynchBolivarLife?</w:t>
      </w:r>
      <w:r>
        <w:rPr/>
        <w:t>)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FootnoteAnchor"/>
        </w:rPr>
        <w:footnoteReference w:id="13"/>
      </w:r>
      <w:r>
        <w:rPr/>
        <w:t>.</w:t>
      </w:r>
    </w:p>
    <w:p>
      <w:pPr>
        <w:pStyle w:val="TextBody"/>
        <w:rPr/>
      </w:pPr>
      <w:bookmarkStart w:id="4" w:name="una-lectura-cultual"/>
      <w:r>
        <w:rPr/>
        <w:t xml:space="preserve">La obra de Lozano y Lozano a principios del siglo XX no solo </w:t>
      </w:r>
      <w:commentRangeStart w:id="8"/>
      <w:r>
        <w:rPr/>
        <w:t>amplió y modernizó el ámbito del culto bolivariano</w:t>
      </w:r>
      <w:r>
        <w:rPr/>
      </w:r>
      <w:commentRangeEnd w:id="8"/>
      <w:r>
        <w:commentReference w:id="8"/>
      </w:r>
      <w:r>
        <w:rPr/>
        <w:t>,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veremos en la próxima sección– en el caso de Rodríguez se funda en un relato apócrifo.</w:t>
      </w:r>
      <w:bookmarkEnd w:id="4"/>
    </w:p>
    <w:p>
      <w:pPr>
        <w:pStyle w:val="Heading3"/>
        <w:rPr/>
      </w:pPr>
      <w:bookmarkStart w:id="5" w:name="el-rostro-típico-contra-el-texto-atópico"/>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una aparición del “arte de pintar palabras”. En su mano izquierda están enrolladas otras páginas del manuscrito. El óvalo que separa al rostro de sus extremidades lo separa también de su texto, fundando el régimen representacional que ordena la iconografía rodrigueana: en billetes, murales, estampillas, logotipos, y también el que lateralmente habilita el rostro de Rodríguez en la pintura de 1950. Pero además, ese rostro separado del cuerpo textual y las extremidades de Rodríguez está anudado a un proceso de personificación, que noveliza su vida para sobrecodificar su obra.</w:t>
      </w:r>
    </w:p>
    <w:p>
      <w:pPr>
        <w:pStyle w:val="FirstParagraph"/>
        <w:rPr/>
      </w:pPr>
      <w:r>
        <w:rPr/>
        <w:t>[figura: mozaico con cuatro a seis instancias del ícono, incluido detalle del cuadro de 1950]</w:t>
      </w:r>
    </w:p>
    <w:p>
      <w:pPr>
        <w:pStyle w:val="TextBody"/>
        <w:rPr/>
      </w:pPr>
      <w:r>
        <w:rPr/>
        <w:t>La clave en que se sobrecodificó la obra de Rodríguez a lo largo del siglo XX no fue necesariamente la misma que empleó Lozano y Lozano en 1913, pero los mecanismos de apaciguamiento de sus potencias disrruptivas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tópicos</w:t>
      </w:r>
      <w:r>
        <w:rPr/>
        <w:t>, contenidas en los dispositivos de desencasillamiento que atraviesan su obra. 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E</w:t>
      </w:r>
      <w:r>
        <w:rPr/>
        <w:t xml:space="preserve">l crop ovalado que separa al rostro de su texto y de su cuerpo en </w:t>
      </w:r>
      <w:r>
        <w:rPr>
          <w:i/>
          <w:iCs/>
        </w:rPr>
        <w:t>El maestro</w:t>
      </w:r>
      <w:r>
        <w:rPr/>
        <w:t xml:space="preserve"> </w:t>
      </w:r>
      <w:r>
        <w:rPr/>
        <w:t>encuentra una resonancia que trasciende el ámbito inmediato de la reproducción mecánica</w:t>
      </w:r>
      <w:r>
        <w:rPr/>
        <w:t xml:space="preserve">. Pues si bien las tentativas de interpretación sucesivas no separan literalmente la cara de Rodríguez de su cuerpo y de su obra, esta separación sigue funcionando en la dinámica que describen Deleuze and Guattari en </w:t>
      </w:r>
      <w:r>
        <w:rPr>
          <w:i/>
          <w:iCs/>
        </w:rPr>
        <w:t>Mil mesetas</w:t>
      </w:r>
      <w:r>
        <w:rPr/>
        <w:t xml:space="preserve"> para caracterizar la “rostridad”. Claro que en el modelo metafórico de Deleuze and Guattari, el rostro no es un rostro en un sentido literal, como aparece en el crop del </w:t>
      </w:r>
      <w:r>
        <w:rPr>
          <w:i/>
          <w:iCs/>
        </w:rPr>
        <w:t>Maestro del Libertador</w:t>
      </w:r>
      <w:r>
        <w:rPr/>
        <w:t xml:space="preserve">: el “rostro” es una “máquina abstracta” que organiza y sobredetermina la producción de sentido en un grupo de discursos (pp). </w:t>
      </w:r>
      <w:r>
        <w:rPr/>
        <w:t xml:space="preserve">Pero, en ese sentido, la personificación de Rodríguez ha operado en la tradición crítica como un “ojo central, agujero negro que captura todo lo que exceda, todo lo que transforme tanto los afectos asignados comos las significaciones dominantes” (Deleuze and Guattari 184). </w:t>
      </w:r>
      <w:commentRangeStart w:id="9"/>
      <w:r>
        <w:rPr/>
        <w:t xml:space="preserve">Más aún, la “rostrificación” de Rodríguez, en este caso puede pensarse en términos más precisos como una instrumentalización mistificante de la “función de autor”: la que, como señala Foucault, pone a orbitar en torno a su autoridad todos los discursos que emanan de él (pp). </w:t>
      </w:r>
      <w:r>
        <w:rPr/>
      </w:r>
      <w:commentRangeEnd w:id="9"/>
      <w:r>
        <w:commentReference w:id="9"/>
      </w:r>
      <w:r>
        <w:rPr/>
        <w:t>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FootnoteAnchor"/>
        </w:rPr>
        <w:footnoteReference w:id="14"/>
      </w:r>
      <w:r>
        <w:rPr/>
        <w:t xml:space="preserve">. Además de las siete reimpresiones en Monte Ávila Editores de </w:t>
      </w:r>
      <w:r>
        <w:rPr>
          <w:i/>
          <w:iCs/>
        </w:rPr>
        <w:t>Inventamos o erramos</w:t>
      </w:r>
      <w:r>
        <w:rPr/>
        <w:t xml:space="preserve"> entre 1980 y 2004, la obra fue reeditada con los mismos recortes en 2012 por la editorial creada durante el gobierno de Hugo Chávez, El Perro y la Rana. 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and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0"/>
      <w:bookmarkEnd w:id="5"/>
    </w:p>
    <w:p>
      <w:pPr>
        <w:pStyle w:val="Heading2"/>
        <w:rPr/>
      </w:pPr>
      <w:r>
        <w:rPr/>
        <w:t xml:space="preserve">2. El </w:t>
      </w:r>
      <w:r>
        <w:rPr>
          <w:i/>
          <w:iCs/>
        </w:rPr>
        <w:t>crop</w:t>
      </w:r>
      <w:r>
        <w:rPr/>
        <w:t xml:space="preserve"> romántico del individuo</w:t>
      </w:r>
    </w:p>
    <w:p>
      <w:pPr>
        <w:pStyle w:val="Heading3"/>
        <w:rPr/>
      </w:pPr>
      <w:bookmarkStart w:id="6" w:name="la-barajita-difícil"/>
      <w:r>
        <w:rPr/>
        <w:t>La barajita difícil</w:t>
      </w:r>
    </w:p>
    <w:p>
      <w:pPr>
        <w:pStyle w:val="FirstParagraph"/>
        <w:rPr/>
      </w:pPr>
      <w:r>
        <w:rPr/>
        <w:t>La lectura dominante de Rodríguez en la historiografía cultural latinoamericana –al menos desde la década de 19</w:t>
      </w:r>
      <w:r>
        <w:rPr/>
        <w:t>8</w:t>
      </w:r>
      <w:r>
        <w:rPr/>
        <w:t xml:space="preserve">0– ha leído su obra más bien separada </w:t>
      </w:r>
      <w:r>
        <w:rPr>
          <w:rFonts w:asciiTheme="minorHAnsi" w:cstheme="minorBidi" w:eastAsiaTheme="minorHAnsi" w:hAnsiTheme="minorHAnsi"/>
          <w:shd w:fill="FFFF00" w:val="clear"/>
        </w:rPr>
        <w:t>–</w:t>
      </w:r>
      <w:r>
        <w:rPr>
          <w:rFonts w:asciiTheme="minorHAnsi" w:cstheme="minorBidi" w:eastAsiaTheme="minorHAnsi" w:hAnsiTheme="minorHAnsi"/>
          <w:shd w:fill="FFFF00" w:val="clear"/>
        </w:rPr>
        <w:t>o salvada--</w:t>
      </w:r>
      <w:r>
        <w:rPr/>
        <w:t xml:space="preserve"> </w:t>
      </w:r>
      <w:r>
        <w:rPr/>
        <w:t>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Como ya indiqué, la primera forma de rostrificación que orientó el sentido de la obra de Rodríguez fue el diagnóstico de locura. Como señala Maximiliano Durán (“La supuesta influencia de Rousseau en el pensamiento de Simón Rodríguez”),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“Locura, novedad y educación en el pensamiento político de Simón Rodríguez: un abordaje filosófico” 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 xml:space="preserve">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 </w:t>
      </w: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w:t>
      </w:r>
    </w:p>
    <w:p>
      <w:pPr>
        <w:pStyle w:val="TextBody"/>
        <w:rPr/>
      </w:pPr>
      <w:bookmarkStart w:id="7" w:name="la-barajita-difícil"/>
      <w:r>
        <w:rPr/>
        <w:t>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influencia de Rousseau en el pensamiento de Simón Rodríguez”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7"/>
    </w:p>
    <w:p>
      <w:pPr>
        <w:pStyle w:val="Heading3"/>
        <w:rPr/>
      </w:pPr>
      <w:bookmarkStart w:id="8" w:name="romantizar-para-normalizar"/>
      <w:r>
        <w:rPr/>
        <w:t>Romantizar para normalizar</w:t>
      </w:r>
    </w:p>
    <w:p>
      <w:pPr>
        <w:pStyle w:val="FirstParagraph"/>
        <w:rPr/>
      </w:pPr>
      <w:r>
        <w:rPr/>
        <w:t xml:space="preserve">En la etapa de canonización de Rodríguez, Rawicz </w:t>
      </w:r>
      <w:r>
        <w:rPr>
          <w:rFonts w:asciiTheme="minorHAnsi" w:cstheme="minorBidi" w:eastAsiaTheme="minorHAnsi" w:hAnsiTheme="minorHAnsi"/>
          <w:shd w:fill="FFFF00" w:val="clear"/>
        </w:rPr>
        <w:t>and</w:t>
      </w:r>
      <w:r>
        <w:rPr/>
        <w:t xml:space="preserve"> Mondragón destacan la labor de difusión de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w:t>
      </w:r>
      <w:r>
        <w:rPr>
          <w:rStyle w:val="FootnoteAnchor"/>
        </w:rPr>
        <w:footnoteReference w:id="15"/>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FootnoteAnchor"/>
        </w:rPr>
        <w:footnoteReference w:id="16"/>
      </w:r>
      <w:r>
        <w:rPr/>
        <w:t>. Esta lectura de Rodríguez en muchos casos se produjo a partir de recortes muy parciales, sin acceso directo a su obra publicada (Rawicz and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 La edición, encabezada por el mismo avatar </w:t>
      </w:r>
      <w:r>
        <w:rPr>
          <w:i/>
          <w:iCs/>
        </w:rPr>
        <w:t>cropeado</w:t>
      </w:r>
      <w:r>
        <w:rPr/>
        <w:t xml:space="preserve"> que se usa en </w:t>
      </w:r>
      <w:r>
        <w:rPr>
          <w:i/>
          <w:iCs/>
        </w:rPr>
        <w:t>El maestro</w:t>
      </w:r>
      <w:r>
        <w:rPr/>
        <w:t xml:space="preserve">, es una de las más rigurosas que se ha publicado, en lo que se refiere a la preservación de las singularidades textuales de Rodríguez (Mondragón pp). Es decir, Úslar Pietri tuvo acceso directo a casi toda la obra –exceptuando los pocos materiales que han aparecido después </w:t>
      </w:r>
      <w:r>
        <w:rPr>
          <w:rStyle w:val="FootnoteAnchor"/>
        </w:rPr>
        <w:footnoteReference w:id="17"/>
      </w:r>
      <w:r>
        <w:rPr/>
        <w:t>–, como no la tuvieron sus pares de la historiografía culturalista latinoamericana. Además, gracias a esa perspectiva ampliada, pudo ser de los primeros en conocer y exponer las diferencias sustanciales entre el pensamiento de Rodríguez y el de Rousseau (Rawicz and Mondragón pp).</w:t>
      </w:r>
    </w:p>
    <w:p>
      <w:pPr>
        <w:pStyle w:val="TextBody"/>
        <w:rPr/>
      </w:pPr>
      <w:r>
        <w:rPr/>
        <w:t xml:space="preserve">Pero </w:t>
      </w:r>
      <w:r>
        <w:rPr/>
        <w:t xml:space="preserve">la trama narrativa en que Úslar Pietri insertó al autor seguía recurriendo enérgicamente al genovés como un rostro modélico para ordenar su lectura. Es decir, independientemente de lo muy cuestionable de la “tesis del Emilio” </w:t>
      </w:r>
      <w:r>
        <w:rPr>
          <w:rStyle w:val="FootnoteAnchor"/>
        </w:rPr>
        <w:footnoteReference w:id="18"/>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 xml:space="preserve">izaba sus anomalías. En este sentido, es significativo que Rodríguez se opuso en más de una ocasión tanto a la romantización como a la </w:t>
      </w:r>
      <w:r>
        <w:rPr>
          <w:i/>
          <w:iCs/>
        </w:rPr>
        <w:t>roman</w:t>
      </w:r>
      <w:r>
        <w:rPr/>
        <w:t xml:space="preserve">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 </w:t>
      </w:r>
    </w:p>
    <w:p>
      <w:pPr>
        <w:pStyle w:val="TextBody"/>
        <w:rPr/>
      </w:pPr>
      <w:r>
        <w:rPr/>
        <w:t xml:space="preserve">Aún </w:t>
      </w:r>
      <w:r>
        <w:rPr/>
        <w:t xml:space="preserve">más que esas declaraciones de principios, son significativos los dispositivos de desencasillamiento que –como el contenido apócrifo del “Juramento”–, se originan en la habilidad performática del Rodríguez narrador. 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 Este texto ha sido uno de los marcos fundamentales para la novelización </w:t>
      </w:r>
      <w:r>
        <w:rPr>
          <w:i/>
          <w:iCs/>
        </w:rPr>
        <w:t>rousseauniana</w:t>
      </w:r>
      <w:r>
        <w:rPr/>
        <w:t xml:space="preserve"> de Rodríguez. Es decir, como sujeto voluntariamente aislado o separado de la sociedad en que vivió. 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w:t>
      </w:r>
    </w:p>
    <w:p>
      <w:pPr>
        <w:pStyle w:val="TextBody"/>
        <w:rPr/>
      </w:pPr>
      <w:r>
        <w:rPr/>
      </w:r>
    </w:p>
    <w:p>
      <w:pPr>
        <w:pStyle w:val="TextBody"/>
        <w:rPr/>
      </w:pPr>
      <w:r>
        <w:rPr/>
        <w:t>[figuras: ilustración de Rodríguez por Marcoy e imagen de la portada del número de la revista]</w:t>
      </w:r>
    </w:p>
    <w:p>
      <w:pPr>
        <w:pStyle w:val="TextBody"/>
        <w:rPr/>
      </w:pPr>
      <w:r>
        <w:rPr/>
      </w:r>
    </w:p>
    <w:p>
      <w:pPr>
        <w:pStyle w:val="TextBody"/>
        <w:rPr/>
      </w:pPr>
      <w:r>
        <w:rPr/>
        <w:t>El viajero viene de un lugar donde “[l]as ovejas pastaban sobre un musgo desnudo con algunas briznas de hierba” (Marcoy 289)</w:t>
      </w:r>
      <w:r>
        <w:rPr>
          <w:rStyle w:val="FootnoteAnchor"/>
        </w:rPr>
        <w:footnoteReference w:id="19"/>
      </w:r>
      <w:r>
        <w:rPr/>
        <w:t xml:space="preserve">, cuando le cae la noche y comienza su entrada a Azángaro: una población a 68 kilómetros de la orilla del Titicaca y 3859 metros sobre el nivel del mar. Marcoy lo describe como “un caserío al pie de una montaña” </w:t>
      </w:r>
      <w:r>
        <w:rPr>
          <w:rStyle w:val="FootnoteAnchor"/>
        </w:rPr>
        <w:footnoteReference w:id="20"/>
      </w:r>
      <w:r>
        <w:rPr/>
        <w:t xml:space="preserve">, sin posadas, donde vagó entre las casas buscando alguien que le ofreciera hospedarlo (290). Lo invita a entrar el dueño de una pulpería “en cuya entrada veíamos algunas velas que el viento de la tarde hacía oscilar” </w:t>
      </w:r>
      <w:r>
        <w:rPr>
          <w:rStyle w:val="FootnoteAnchor"/>
        </w:rPr>
        <w:footnoteReference w:id="21"/>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FootnoteAnchor"/>
        </w:rPr>
        <w:footnoteReference w:id="22"/>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Marcoy. En la conversación, que se extiende hasta tarde, Rodríguez deja ver que está jugando con la credulidad del viajero, pues le da una versión completamente adulterada de su vida.</w:t>
      </w:r>
    </w:p>
    <w:p>
      <w:pPr>
        <w:pStyle w:val="TextBody"/>
        <w:rPr/>
      </w:pPr>
      <w:r>
        <w:rP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 </w:t>
      </w:r>
      <w:r>
        <w:rPr>
          <w:rStyle w:val="FootnoteAnchor"/>
        </w:rPr>
        <w:footnoteReference w:id="23"/>
      </w:r>
      <w:r>
        <w:rPr/>
        <w:t>.</w:t>
      </w:r>
      <w:bookmarkEnd w:id="8"/>
    </w:p>
    <w:p>
      <w:pPr>
        <w:pStyle w:val="Heading3"/>
        <w:rPr/>
      </w:pPr>
      <w:r>
        <w:rPr/>
        <w:t>El chiste del individualismo</w:t>
      </w:r>
    </w:p>
    <w:p>
      <w:pPr>
        <w:pStyle w:val="FirstParagraph"/>
        <w:rPr/>
      </w:pPr>
      <w:r>
        <w:rPr/>
        <w:t xml:space="preserve">No puede precisarse la motivación de Rodríguez para tergiversar de ese modo su vida y la de Bolívar en la conversa con el viajero </w:t>
      </w:r>
      <w:r>
        <w:rPr>
          <w:rStyle w:val="FootnoteAnchor"/>
        </w:rPr>
        <w:footnoteReference w:id="24"/>
      </w:r>
      <w:r>
        <w:rPr/>
        <w:t xml:space="preserve">. Pero en cualquier caso, este gesto ha sido subestimado o ignorado en su importancia crítica desde la transcripción que hizo Lozano y Lozano </w:t>
      </w:r>
      <w:r>
        <w:rPr>
          <w:rStyle w:val="FootnoteAnchor"/>
        </w:rPr>
        <w:footnoteReference w:id="25"/>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FootnoteAnchor"/>
        </w:rPr>
        <w:footnoteReference w:id="26"/>
      </w:r>
      <w:r>
        <w:rPr/>
        <w:t>.</w:t>
      </w:r>
    </w:p>
    <w:p>
      <w:pPr>
        <w:pStyle w:val="TextBody"/>
        <w:rPr/>
      </w:pPr>
      <w:r>
        <w:rPr/>
        <w:t>Pero e</w:t>
      </w:r>
      <w:r>
        <w:rPr/>
        <w:t xml:space="preserv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 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Amunátegui </w:t>
      </w:r>
      <w:r>
        <w:rPr>
          <w:rStyle w:val="FootnoteAnchor"/>
        </w:rPr>
        <w:footnoteReference w:id="27"/>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desde la semblanza de Rodríguez que hizo Úslar Pietri en su prólogo de 1954 para la primera edición de sus obras completas, este episodio fue el que articuló la rostrificación de Rodríguez como un romántico aislado. Rodríguez se presenta como alguien que siempre vivió por deseo y conviccción una vida tan precaria y separada de la sociedad como la del pulpero de Azángaro .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and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ama tanto la soledad y vivir solo que ni siquiera habría sufrido como Robinson debido a su insularidad” (Derrida 99) El Rodríguez histórico es al mismo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9" w:name="el-chiste-omitido-del-pulpero-andaluz"/>
      <w:r>
        <w:rPr/>
        <w:t>Pero el espisodio de Azángaro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9"/>
    </w:p>
    <w:p>
      <w:pPr>
        <w:pStyle w:val="Heading3"/>
        <w:rPr/>
      </w:pPr>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Americanas en 1828. Cómo serán y cómo podrían ser en los siglos venideros</w:t>
      </w:r>
      <w:r>
        <w:rPr/>
        <w:t xml:space="preserve"> 4–5) .</w:t>
      </w:r>
    </w:p>
    <w:p>
      <w:pPr>
        <w:pStyle w:val="TextBody"/>
        <w:rPr/>
      </w:pPr>
      <w:r>
        <w:rPr/>
        <w:t xml:space="preserve">Claro que la predisposición de Rodríguez no es gratuita: publica la primera entrega </w:t>
      </w:r>
      <w:r>
        <w:rPr>
          <w:i/>
          <w:iCs/>
        </w:rPr>
        <w:t>Sociedades</w:t>
      </w:r>
      <w:r>
        <w:rPr/>
        <w:t xml:space="preserve"> tras dos años de vivir entre chismes contra él –como el de los orinales, probablemente– y conspiraciones contra sus proyectos en Bolivia y Perú </w:t>
      </w:r>
      <w:r>
        <w:rPr>
          <w:rStyle w:val="FootnoteAnchor"/>
        </w:rPr>
        <w:footnoteReference w:id="28"/>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 xml:space="preserve">Rodríguez anticipa una equivocada reacción despreciativa y burlona del público a sus escritos. Y esto desborda la perversión de los “perseguidores”, especialmente cuando se pone en relación con la afirmación de uno de sus biógrafos, según la cual Rodríguez era el primero en contribuir a difundir las difamaciones que circulaban sobre él (Rumazo González, </w:t>
      </w:r>
      <w:r>
        <w:rPr>
          <w:i/>
          <w:iCs/>
        </w:rPr>
        <w:t>Simón Rodríguez, Maestro de América</w:t>
      </w:r>
      <w:r>
        <w:rPr/>
        <w:t xml:space="preserve">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Americanas en 1828. Cómo serán y cómo podrían ser en los siglos venideros</w:t>
      </w:r>
      <w:r>
        <w:rPr/>
        <w:t>) V). Así, Rodríguez establece el estilo como una cualidad que define posiciones en una lógica polarizada, donde él se ubica junto a lo vulgar y accesible, por “fuera”, y los Sabios se ubican del lado de lo recóndito y lo inaccesible, por “dentro” .</w:t>
      </w:r>
    </w:p>
    <w:p>
      <w:pPr>
        <w:pStyle w:val="TextBody"/>
        <w:rPr/>
      </w:pPr>
      <w:r>
        <w:rPr/>
        <w:t xml:space="preserve">Por supuesto que la idea de que su escritura fuera clara o fácil es muy cuestionable y está en abierta contradicción con muchas afirmaciones de Rodríguez a lo largo de la obra ^[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10"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10"/>
    </w:p>
    <w:p>
      <w:pPr>
        <w:pStyle w:val="Heading3"/>
        <w:rPr/>
      </w:pPr>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Americanas en 1828. Cómo serán y cómo podrían ser en los siglos venideros</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modernismo latinoamericano.</w:t>
      </w:r>
    </w:p>
    <w:p>
      <w:pPr>
        <w:pStyle w:val="TextBody"/>
        <w:rPr/>
      </w:pPr>
      <w:bookmarkStart w:id="11" w:name="contra-la-novela-de-su-vida"/>
      <w:bookmarkStart w:id="12" w:name="el-crop-romántico-del-individuo"/>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1"/>
      <w:bookmarkEnd w:id="12"/>
    </w:p>
    <w:p>
      <w:pPr>
        <w:pStyle w:val="Heading2"/>
        <w:rPr/>
      </w:pPr>
      <w:bookmarkStart w:id="13" w:name="otra-cara-del-arte-de-vanguardia"/>
      <w:r>
        <w:rPr/>
        <w:t>Otra cara del arte de vanguardia</w:t>
      </w:r>
    </w:p>
    <w:p>
      <w:pPr>
        <w:pStyle w:val="Heading3"/>
        <w:rPr/>
      </w:pPr>
      <w:bookmarkStart w:id="14" w:name="Xcbbb0cb51ad1501c76315f35e09e07e4e2476c4"/>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“arte de pintar palabras”.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FootnoteAnchor"/>
        </w:rPr>
        <w:footnoteReference w:id="29"/>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and Mondragón. Como contraparte de estos agentes, el hombre empobrecido en las cercanías del Titicaca, que habiendo sido mentor de Bolívar escribía como Mallarmé y Apollinaire y desnudaba al poder como Tortsky y Bakunin </w:t>
      </w:r>
      <w:r>
        <w:rPr>
          <w:rStyle w:val="FootnoteAnchor"/>
        </w:rPr>
        <w:footnoteReference w:id="30"/>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and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w:t>
      </w:r>
      <w:r>
        <w:rPr>
          <w:b/>
          <w:bCs/>
        </w:rPr>
        <w:t>machadoPreguntasSobreAutoridad?</w:t>
      </w:r>
      <w:r>
        <w:rPr/>
        <w:t>), la prevalencia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de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–sumadas a otras </w:t>
      </w:r>
      <w:r>
        <w:rPr>
          <w:i/>
          <w:iCs/>
        </w:rPr>
        <w:t>ad hominem</w:t>
      </w:r>
      <w:r>
        <w:rPr/>
        <w:t xml:space="preserve"> que no menciono–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 del “lado” de los oprimidos obligaría a forzar un nuevo –o renovado– </w:t>
      </w:r>
      <w:r>
        <w:rPr>
          <w:i/>
          <w:iCs/>
        </w:rPr>
        <w:t>crop</w:t>
      </w:r>
      <w:r>
        <w:rPr/>
        <w:t xml:space="preserve"> y rostro rodrigueano, que lo separarían de amplias zonas de su texto y su cuerpo histórico. Ambas lecturas obligan a dejar de lado la relación dinámica que su estilo y su proyecto se proponen establecer entre el “adentro” y el “afuera” de la realidad social que postula.</w:t>
      </w:r>
    </w:p>
    <w:p>
      <w:pPr>
        <w:pStyle w:val="TextBody"/>
        <w:rPr/>
      </w:pPr>
      <w:r>
        <w:rPr/>
        <w:t xml:space="preserve">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De hecho, Lasarte Valcárcel pone al vanguardismo como uno de los índices de lectura eufórica y descontextualizada de Rodríguez. Pero en realidad, indagar en detalle en su condición de vanguardista en la primera mitad del siglo XIX, es más bien una clave para aproximarlo al lugar de enunciación que compartió con los letrados hegemónicos de su época. Es en este horizonte donde se gesta el “arte de pintar palabras” con tipos móviles: la técnica que con más precisión ubica a Rodríguez en su epocalidad. No necesaria ni exactamente del “lado” de los opresores, pero sí en un extremo diferencial, donde se pone en juego el límite entre opresores y oprimidos en una escala global, precisamente, a partir del tipo de técnica que en determinado espacio-tiempo pudo emerger como parte de la vanguardia o no.</w:t>
      </w:r>
      <w:bookmarkEnd w:id="14"/>
    </w:p>
    <w:p>
      <w:pPr>
        <w:pStyle w:val="Heading3"/>
        <w:rPr/>
      </w:pPr>
      <w:bookmarkStart w:id="15" w:name="demasiado-jacobino-para-ser-dadaísta"/>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Americanas en 1828. Cómo serán y cómo podrían ser en los siglos venideros</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También el mismo Rodríguez (</w:t>
      </w:r>
      <w:r>
        <w:rPr>
          <w:i/>
          <w:iCs/>
        </w:rPr>
        <w:t>Sociedades Americanas en 1828. Cómo serán y cómo podrían ser en los siglos venideros</w:t>
      </w:r>
      <w:r>
        <w:rPr/>
        <w:t xml:space="preserve">) declara las finalidades de su innovación técnica, desde las últimas páginas de </w:t>
      </w:r>
      <w:r>
        <w:rPr>
          <w:i/>
          <w:iCs/>
        </w:rPr>
        <w:t>Sociedades americanas en 1828</w:t>
      </w:r>
      <w:r>
        <w:rPr/>
        <w:t xml:space="preserve">, cuando asegura que “[e]n el modo de pintar [con las palabras] consiste la expresión, y por la expresión se distinguen los estilos”. Pues ahí indica que el fin de dicha </w:t>
      </w:r>
      <w:r>
        <w:rPr>
          <w:i/>
          <w:iCs/>
        </w:rPr>
        <w:t>expresión</w:t>
      </w:r>
      <w:r>
        <w:rPr/>
        <w:t xml:space="preserve"> es “despertar la atención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manifiesta la voluntad de clausurar su sentido y reducirla a un medio cuyos efectos sociales se pueden controlar.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tanta insistencia. Por ejemplo, a pesar de lo enérgicamente que Lasarte Valcárcel critica las analogías con los mencionados artistas del siglo XX, él mismo no puede resistirse al final de su ensayo a proponer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r>
        <w:rPr/>
        <w:t>Claro que el “purismo” al que se refiere Lasarte Valcárcel no se refiere al tipo de pureza que propone el horizonte jacobino, donde los medios artísticos pueden fijarse inequívocamente a los fines. Como señala Julio (</w:t>
      </w:r>
      <w:r>
        <w:rPr>
          <w:b/>
          <w:bCs/>
        </w:rPr>
        <w:t>ramosDesencuentrosModernidadAmerica2021?</w:t>
      </w:r>
      <w:r>
        <w:rPr/>
        <w:t xml:space="preserve">), en el caso del modernismo hispanoamericano, se trata más bien de un proyecto de autoridad y autonomía estilística, que resiste a los flujos de homogenización y mecanización del capitalismo (pp). En ese horizonte hay coincidencias que han sido señaladas </w:t>
      </w:r>
      <w:r>
        <w:rPr>
          <w:rStyle w:val="FootnoteAnchor"/>
        </w:rPr>
        <w:footnoteReference w:id="31"/>
      </w:r>
      <w:r>
        <w:rPr/>
        <w:t>. Pero ninguna de estas tentativas requirió de sus creadores gestos de ruptura del orden convencional de los signos sobre la página. Y aunque los duelos a muerte de Rufino Blanco Fombona alcanzan el escándalo anecdótico, ninguna de estas figuras dejó inscrita en su biografía una escena como la del “banquete” de La Paz.</w:t>
      </w:r>
      <w:bookmarkEnd w:id="15"/>
    </w:p>
    <w:p>
      <w:pPr>
        <w:pStyle w:val="Heading3"/>
        <w:rPr/>
      </w:pPr>
      <w:bookmarkStart w:id="16" w:name="demasiado-dadaísta-para-ser-jacobino"/>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 in Latin American art</w:t>
      </w:r>
      <w:r>
        <w:rPr/>
        <w:t>) también subraya su “actitud intransigente, excéntrica y personalista”. Con esto sugiere una contemporaneidad asíncrona con el vanguardismo de Duchamp, como la que sugiere Lasarte Valcárcel entre Rodríguez y los modernistas hispanoamericanos. Sin embargo, Camnitzer (</w:t>
      </w:r>
      <w:r>
        <w:rPr>
          <w:i/>
          <w:iCs/>
        </w:rPr>
        <w:t>Conceptualism in Latin American art</w:t>
      </w:r>
      <w:r>
        <w:rPr/>
        <w:t>) establece el –asumido– objetivo político y pedagógico de la obra de Rodríguez como fijador inequívoco de su valor artístico. Y la relación asíncrona de parentesco que más enfatiza no es la que establece con lo que Peter Bürger and Schulte-Sasse llamó “vanguardias históricas” –a las que pertenecerían Duchamp, Mallarmé y Apollinaire–, sino la que propone con “conceptualistas” latinoamericanos de la segunda mitad del siglo XX (pp).</w:t>
      </w:r>
    </w:p>
    <w:p>
      <w:pPr>
        <w:pStyle w:val="TextBody"/>
        <w:rPr/>
      </w:pPr>
      <w:r>
        <w:rPr/>
        <w:t>Para establecer este parentesco, Camnitzer (</w:t>
      </w:r>
      <w:r>
        <w:rPr>
          <w:i/>
          <w:iCs/>
        </w:rPr>
        <w:t>Conceptualism in Latin American art</w:t>
      </w:r>
      <w:r>
        <w:rPr/>
        <w:t xml:space="preserve">) propone una tradición alternativa del arte conceptual latinoamericano, el “conceptualismo”, que correría –junto a los Tupamaros de Uruguay o los argentinos de </w:t>
      </w:r>
      <w:r>
        <w:rPr>
          <w:i/>
          <w:iCs/>
        </w:rPr>
        <w:t>Tucumán Arde</w:t>
      </w:r>
      <w:r>
        <w:rPr/>
        <w:t>, por ejemplo– paralela a los circuitos más institucionalizados del arte occidental. Camnitzer (</w:t>
      </w:r>
      <w:r>
        <w:rPr>
          <w:i/>
          <w:iCs/>
        </w:rPr>
        <w:t>Conceptualism in Latin American art</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 xml:space="preserve">La tesis de Briggs propone una homología sincrónica, entre el concepto de arte de Rodríguez y el concepto de arte jacobino. La de Camnitzer, establece la homología diacrónicamente, a partir de un parentesco geográfico y veladamente racial </w:t>
      </w:r>
      <w:r>
        <w:rPr>
          <w:rStyle w:val="FootnoteAnchor"/>
        </w:rPr>
        <w:footnoteReference w:id="32"/>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TextBody"/>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a la expresión diáfana y edificante de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FootnoteAnchor"/>
        </w:rPr>
        <w:footnoteReference w:id="33"/>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reducida a darle forma a un proyecto civilizatorio preconcebido e ideal que lo superaba y lo sobredeterminaba: la “gran empresa” revolucionaria. Rodríguez, por su parte, coincidió con ellos al concebir su “arte de pintar palabras”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FootnoteAnchor"/>
        </w:rPr>
        <w:footnoteReference w:id="34"/>
      </w:r>
      <w:r>
        <w:rPr/>
        <w:t xml:space="preserve"> (</w:t>
      </w:r>
      <w:r>
        <w:rPr>
          <w:b/>
          <w:bCs/>
        </w:rPr>
        <w:t>ramosDesencuentrosModernidadAmerica2021?</w:t>
      </w:r>
      <w:r>
        <w:rPr/>
        <w:t xml:space="preserve"> pp)</w:t>
      </w:r>
    </w:p>
    <w:p>
      <w:pPr>
        <w:pStyle w:val="TextBody"/>
        <w:rPr/>
      </w:pPr>
      <w:r>
        <w:rPr/>
        <w:t xml:space="preserve">Lo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 la civilización burguesa.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16"/>
    </w:p>
    <w:p>
      <w:pPr>
        <w:pStyle w:val="Heading3"/>
        <w:rPr/>
      </w:pPr>
      <w:bookmarkStart w:id="17" w:name="el-arte-como-acción"/>
      <w:r>
        <w:rPr/>
        <w:t>El arte como acción</w:t>
      </w:r>
    </w:p>
    <w:p>
      <w:pPr>
        <w:pStyle w:val="FirstParagraph"/>
        <w:rPr/>
      </w:pPr>
      <w:r>
        <w:rPr/>
        <w:t>Como demuestro en el tercer capítulo, las tensiones que la técnica de Rodríguez pone en evidencia con las nociones hegemónicas de novedad y de vanguardia artística no son accidentales ni secundarias: son efecto de dispositivos y conceptos en el “arte de pintar palabras”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FootnoteAnchor"/>
        </w:rPr>
        <w:footnoteReference w:id="35"/>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w:t>
      </w:r>
    </w:p>
    <w:p>
      <w:pPr>
        <w:pStyle w:val="TextBody"/>
        <w:rPr/>
      </w:pPr>
      <w:r>
        <w:rPr/>
        <w:t>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FootnoteAnchor"/>
        </w:rPr>
        <w:footnoteReference w:id="36"/>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“arte de pintar palabras”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los textos de Rodríguez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El Curso natural de las cosas es un torrente que arrastra con lo que encuentra y vuelca lo que se le opone Esta fuerza es la que hace las revoluciones los hombres que figuran en ellas son instrumentos de la necesidad Son ACTORES nó AUTORES (Rodríguez, </w:t>
      </w:r>
      <w:r>
        <w:rPr>
          <w:i/>
          <w:iCs/>
        </w:rPr>
        <w:t>Sociedades Americanas en 1828. Luces y virtudes sociales</w:t>
      </w:r>
      <w:r>
        <w:rPr/>
        <w:t>,)</w:t>
      </w:r>
    </w:p>
    <w:p>
      <w:pPr>
        <w:pStyle w:val="FirstParagraph"/>
        <w:rPr/>
      </w:pPr>
      <w:r>
        <w:rPr/>
        <w:t xml:space="preserve">La idea del “curso natural de las cosas” connota la larga tradición de “filosofía natural” que, como nos recuerdan Graeber and Wengrow y Raymond Williams, estuvo entrelazada con la filosofía de la historia a lo largo de la Ilustración (pp). Ahora no me voy a detener a analizar en qué sentido específico usa Rodríguez el término “curso natural de las cosas” </w:t>
      </w:r>
      <w:r>
        <w:rPr>
          <w:rStyle w:val="FootnoteAnchor"/>
        </w:rPr>
        <w:footnoteReference w:id="37"/>
      </w:r>
      <w:r>
        <w:rPr/>
        <w:t>, que recorre distintes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w:t>
      </w:r>
    </w:p>
    <w:p>
      <w:pPr>
        <w:pStyle w:val="TextBody"/>
        <w:rPr/>
      </w:pPr>
      <w:r>
        <w:rPr/>
        <w:t xml:space="preserve">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FootnoteAnchor"/>
        </w:rPr>
        <w:footnoteReference w:id="38"/>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que la que en conjunto profesaba la civilización europea a la que trataban de imitar.</w:t>
      </w:r>
      <w:bookmarkEnd w:id="17"/>
    </w:p>
    <w:p>
      <w:pPr>
        <w:pStyle w:val="Heading3"/>
        <w:rPr/>
      </w:pPr>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“arte de pintar palabras” es poner en acto una técnica que quiere darle forma al futuro potencial que sospecha.</w:t>
      </w:r>
    </w:p>
    <w:p>
      <w:pPr>
        <w:pStyle w:val="TextBody"/>
        <w:rPr/>
      </w:pPr>
      <w:r>
        <w:rPr/>
        <w:t>Pero el “arte de pintar palabras”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 xml:space="preserve">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moderna y modernista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 </w:t>
      </w:r>
      <w:r>
        <w:rPr>
          <w:rStyle w:val="FootnoteAnchor"/>
        </w:rPr>
        <w:footnoteReference w:id="39"/>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“arte de pintar palabras”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“arte de pintar palabras”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deciminónico–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w:t>
      </w:r>
      <w:r>
        <w:rPr>
          <w:b/>
          <w:bCs/>
        </w:rPr>
        <w:t>ramosDesencuentrosModernidadAmerica2021?</w:t>
      </w:r>
      <w:r>
        <w:rPr/>
        <w:t xml:space="preserve"> pp)</w:t>
      </w:r>
    </w:p>
    <w:p>
      <w:pPr>
        <w:pStyle w:val="TextBody"/>
        <w:rPr/>
      </w:pPr>
      <w:bookmarkStart w:id="18"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veremos más detalladamente en el próximo capítulo, en su momento,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más probable destino de su proyecto a corto y largo plazo, le da forma a una relación e incidencia sobre el “curso natural de las cosas” que no cabe ni en las casillas de la vanguardia de su época ni en las casillas de la vanguardia del –entonces– futuro.</w:t>
      </w:r>
      <w:bookmarkEnd w:id="18"/>
    </w:p>
    <w:p>
      <w:pPr>
        <w:pStyle w:val="Heading3"/>
        <w:rPr/>
      </w:pPr>
      <w:bookmarkStart w:id="19" w:name="una-risa-en-francés-que-viene-del-futuro"/>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 </w:t>
      </w:r>
      <w:r>
        <w:rPr>
          <w:rStyle w:val="FootnoteAnchor"/>
        </w:rPr>
        <w:footnoteReference w:id="40"/>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and Weiker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FootnoteAnchor"/>
        </w:rPr>
        <w:footnoteReference w:id="41"/>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Pero el principio autodestructivo que puso en escena en el dadaísmo tenía que ver con un problema técnico que iba más allá de los principios programáticos abstractos. Es el problema de la “reproducción mecánica”, que como señaló Benjamin and Weiker produjo una derogación del “valor de culto” de la obra de arte, y lo sustituyó por su “valor de exhibición” (pp). Como indica Bolívar Echeverría, Benjamin encontró una posibilidad revolucionaria en el nuevo régimen de relación entre arte y revolución que se imponía con el avance de tecnologías de reproducción mecánica de la imagen como el cine y la fotografía (pp). Y esta posibilidad no estaba cifrada en lo que estas tecnologías tenían de edificante, sino precisamente en lo que tenían de destructivo.</w:t>
      </w:r>
    </w:p>
    <w:p>
      <w:pPr>
        <w:pStyle w:val="TextBody"/>
        <w:rPr/>
      </w:pPr>
      <w:r>
        <w:rPr/>
        <w:t xml:space="preserve">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destruían la función tradicional de la obra arte, como mecanismo de cohesión social mediante el culto colectivo (pp) </w:t>
      </w:r>
      <w:r>
        <w:rPr>
          <w:rStyle w:val="FootnoteAnchor"/>
        </w:rPr>
        <w:footnoteReference w:id="42"/>
      </w:r>
      <w:r>
        <w:rPr/>
        <w:t xml:space="preserve">. En consecuencia, esta destrucción exponenciaba la posibilidad del arte de ofrecer resistencia, oposición o freno a la dirección –catastrófica– del progreso, que se había posicionado como una suerte de unívoco culto colectivo en la civilización moderna . En este sentido, encuentro la posibilidad de sentido para la relación entre la </w:t>
      </w:r>
      <w:r>
        <w:rPr>
          <w:i/>
          <w:iCs/>
        </w:rPr>
        <w:t>Fuente</w:t>
      </w:r>
      <w:r>
        <w:rPr/>
        <w:t xml:space="preserve"> de Marcel Duchamp y el “banquete” de Simón Rodríguez que plantea Luis Camnitzer (</w:t>
      </w:r>
      <w:r>
        <w:rPr>
          <w:i/>
          <w:iCs/>
        </w:rPr>
        <w:t>Conceptualism in Latin American art</w:t>
      </w:r>
      <w:r>
        <w:rPr/>
        <w:t>) en la relación, más evidente y señalada, entre el “arte de pintar palabras” y la poesía visual de Mallarmé, Apollinaire, Huidobro y Girondo. La clave al contraponer estas obras se encuentra en un aspecto puntual del desarrollo desigual, como lo es el avance de las tecnologías de reproducción mecánica en general y de la tecnología impresa en particular.</w:t>
      </w:r>
    </w:p>
    <w:p>
      <w:pPr>
        <w:pStyle w:val="TextBody"/>
        <w:rPr/>
      </w:pPr>
      <w:r>
        <w:rPr/>
        <w:t>Como muestro en el próximo capítulo, una preocupación central de Rodríguez y motor de su “arte de pintar palabras” fueron las posibilidades y peligros que significaba para Hispanoamérica la –tardía– adopción masiva de la primera tecnología de reproducción mecánica de la modernidad. Pues si Benjamin and Weiker advertía en la introducción a su ensayo de 1936 que los efectos de la imprenta sobre la cultura “ya son conocidos” (pp), en el periodo de 1820 a 1850, el acceso a la tecnología de tipos móviles era todavía una novedad ajena a las grandes mayorías en Hispanoamérica. Y –lo que era más alarmante para Rodríguez– del mismo modo era ajeno el modelo de “comunidad imaginada” y de nación que, como demuestra Benedict Anderson, se forjó a la medida de las condiciones de posibilidad habilitadas por esta tecnología: el “capitalismo de imprenta” emanado de Europa y Estados Unidos (pp).</w:t>
      </w:r>
    </w:p>
    <w:p>
      <w:pPr>
        <w:pStyle w:val="TextBody"/>
        <w:rPr/>
      </w:pPr>
      <w:r>
        <w:rPr/>
        <w:t>Estas condiciones son fundamentales para entender en su medida histórica la extrema singularidad y virulencia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“arte de pintar palabras”, la carcajada en francés y el “podrían” que Rodríguez lanzó al tiempo en 1828, abren una brecha en la clausura que ese horizonte suponía en 1936 –y que mucho más la supone en el presente. La comida servida en orinales en la ciudad de Chuquisaca en 1826 alerta sobre la dirección del progreso, pero no se queda ahí ni propone activar un freno de emergencia, sino que hace presente, con una última risa, un espacio-tiempo en que su carácter catastrófico podía imaginarse reversible.</w:t>
      </w:r>
    </w:p>
    <w:p>
      <w:pPr>
        <w:pStyle w:val="Bibliography"/>
        <w:rPr/>
      </w:pPr>
      <w:bookmarkStart w:id="20" w:name="ref-aminElogeSocialisme1974"/>
      <w:bookmarkStart w:id="21" w:name="refs"/>
      <w:r>
        <w:rPr/>
        <w:t xml:space="preserve">Amin, Samir. “Éloge Du Socialisme.” </w:t>
      </w:r>
      <w:r>
        <w:rPr>
          <w:i/>
          <w:iCs/>
        </w:rPr>
        <w:t>L Homme Et La Société</w:t>
      </w:r>
      <w:r>
        <w:rPr/>
        <w:t xml:space="preserve">, vol. 31, no. 1, 1974, pp. 3–14. </w:t>
      </w:r>
      <w:r>
        <w:rPr>
          <w:i/>
          <w:iCs/>
        </w:rPr>
        <w:t>DOI.org (Crossref)</w:t>
      </w:r>
      <w:r>
        <w:rPr/>
        <w:t xml:space="preserve">, </w:t>
      </w:r>
      <w:hyperlink r:id="rId2">
        <w:r>
          <w:rPr>
            <w:rStyle w:val="InternetLink"/>
          </w:rPr>
          <w:t>https://doi.org/10.3406/homso.1974.1854</w:t>
        </w:r>
      </w:hyperlink>
      <w:r>
        <w:rPr/>
        <w:t>.</w:t>
      </w:r>
      <w:bookmarkEnd w:id="20"/>
    </w:p>
    <w:p>
      <w:pPr>
        <w:pStyle w:val="Bibliography"/>
        <w:rPr/>
      </w:pPr>
      <w:bookmarkStart w:id="22"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22"/>
    </w:p>
    <w:p>
      <w:pPr>
        <w:pStyle w:val="Bibliography"/>
        <w:rPr/>
      </w:pPr>
      <w:bookmarkStart w:id="23"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23"/>
    </w:p>
    <w:p>
      <w:pPr>
        <w:pStyle w:val="Bibliography"/>
        <w:rPr/>
      </w:pPr>
      <w:bookmarkStart w:id="24" w:name="X90cf82b97c88b1667cc2d2adc2616cef63347ed"/>
      <w:r>
        <w:rPr/>
        <w:t xml:space="preserve">Anderson, Benedict R. O’G. </w:t>
      </w:r>
      <w:r>
        <w:rPr>
          <w:i/>
          <w:iCs/>
        </w:rPr>
        <w:t>Imagined Communities : Reflections on the Origin and Spread of Nationalism</w:t>
      </w:r>
      <w:r>
        <w:rPr/>
        <w:t>. 2016. /z-wcorg/.</w:t>
      </w:r>
      <w:bookmarkEnd w:id="24"/>
    </w:p>
    <w:p>
      <w:pPr>
        <w:pStyle w:val="Bibliography"/>
        <w:rPr/>
      </w:pPr>
      <w:bookmarkStart w:id="25" w:name="ref-benjaminObraArteEpoca2003"/>
      <w:r>
        <w:rPr/>
        <w:t xml:space="preserve">Benjamin, Walter, and Andrés E. Weiker. </w:t>
      </w:r>
      <w:r>
        <w:rPr>
          <w:i/>
          <w:iCs/>
        </w:rPr>
        <w:t>La obra de arte en la época de su reproductibilidad técnica</w:t>
      </w:r>
      <w:r>
        <w:rPr/>
        <w:t>. Ítaca, 2003.</w:t>
      </w:r>
      <w:bookmarkEnd w:id="25"/>
    </w:p>
    <w:p>
      <w:pPr>
        <w:pStyle w:val="Bibliography"/>
        <w:rPr/>
      </w:pPr>
      <w:bookmarkStart w:id="26" w:name="ref-bhabhaNationNarration1991"/>
      <w:r>
        <w:rPr/>
        <w:t xml:space="preserve">Bhabha, Homi K. </w:t>
      </w:r>
      <w:r>
        <w:rPr>
          <w:i/>
          <w:iCs/>
        </w:rPr>
        <w:t>Nation and Narration</w:t>
      </w:r>
      <w:r>
        <w:rPr/>
        <w:t>. Routledge, 1991. /z-wcorg/.</w:t>
      </w:r>
      <w:bookmarkEnd w:id="26"/>
    </w:p>
    <w:p>
      <w:pPr>
        <w:pStyle w:val="Bibliography"/>
        <w:rPr/>
      </w:pPr>
      <w:bookmarkStart w:id="27" w:name="ref-bolivarObrasCompletas1947"/>
      <w:r>
        <w:rPr/>
        <w:t xml:space="preserve">Bolívar, Simón. </w:t>
      </w:r>
      <w:r>
        <w:rPr>
          <w:i/>
          <w:iCs/>
        </w:rPr>
        <w:t>Obras completas</w:t>
      </w:r>
      <w:r>
        <w:rPr/>
        <w:t>. Edited by Vicente Lecuna, vol. 1, Ediciones Lisama, 1947.</w:t>
      </w:r>
      <w:bookmarkEnd w:id="27"/>
    </w:p>
    <w:p>
      <w:pPr>
        <w:pStyle w:val="Bibliography"/>
        <w:rPr/>
      </w:pPr>
      <w:bookmarkStart w:id="28"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28"/>
    </w:p>
    <w:p>
      <w:pPr>
        <w:pStyle w:val="Bibliography"/>
        <w:rPr/>
      </w:pPr>
      <w:bookmarkStart w:id="29" w:name="ref-burgerTheoryAvantgarde1984"/>
      <w:r>
        <w:rPr/>
        <w:t xml:space="preserve">Bürger, Peter, and Jochen Schulte-Sasse. </w:t>
      </w:r>
      <w:r>
        <w:rPr>
          <w:i/>
          <w:iCs/>
        </w:rPr>
        <w:t>Theory of the avant-garde</w:t>
      </w:r>
      <w:r>
        <w:rPr/>
        <w:t>. Translated by Michael Shaw, University of Minnesota Press, 1984.</w:t>
      </w:r>
      <w:bookmarkEnd w:id="29"/>
    </w:p>
    <w:p>
      <w:pPr>
        <w:pStyle w:val="Bibliography"/>
        <w:rPr/>
      </w:pPr>
      <w:bookmarkStart w:id="30" w:name="ref-calinescuCincoCarasModernidad2003"/>
      <w:r>
        <w:rPr/>
        <w:t xml:space="preserve">Calinescu, Matei. </w:t>
      </w:r>
      <w:r>
        <w:rPr>
          <w:i/>
          <w:iCs/>
        </w:rPr>
        <w:t>Cinco caras de la modernidad: modernismo, vanguardia, decadencia, kitsch, posmodernismo</w:t>
      </w:r>
      <w:r>
        <w:rPr/>
        <w:t>. Translated by Francisco Rodríguez Martín, Tecnos, 2003.</w:t>
      </w:r>
      <w:bookmarkEnd w:id="30"/>
    </w:p>
    <w:p>
      <w:pPr>
        <w:pStyle w:val="Bibliography"/>
        <w:rPr/>
      </w:pPr>
      <w:bookmarkStart w:id="31" w:name="Xd8b90658deaf75b5c23de03eaa334fbd835ea8e"/>
      <w:r>
        <w:rPr/>
        <w:t xml:space="preserve">Camnitzer, Luis. </w:t>
      </w:r>
      <w:r>
        <w:rPr>
          <w:i/>
          <w:iCs/>
        </w:rPr>
        <w:t>Conceptualism in Latin American art: didactics of liberation</w:t>
      </w:r>
      <w:r>
        <w:rPr/>
        <w:t>. University of Texas Press, 2007.</w:t>
      </w:r>
      <w:bookmarkEnd w:id="31"/>
    </w:p>
    <w:p>
      <w:pPr>
        <w:pStyle w:val="Bibliography"/>
        <w:rPr/>
      </w:pPr>
      <w:bookmarkStart w:id="32"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32"/>
    </w:p>
    <w:p>
      <w:pPr>
        <w:pStyle w:val="Bibliography"/>
        <w:rPr/>
      </w:pPr>
      <w:bookmarkStart w:id="33" w:name="ref-carreradamasCultoBolivarEsbozo2013"/>
      <w:r>
        <w:rPr/>
        <w:t xml:space="preserve">Carrera Damas, German. </w:t>
      </w:r>
      <w:r>
        <w:rPr>
          <w:i/>
          <w:iCs/>
        </w:rPr>
        <w:t>El culto a Bolivar : esbozo para un estudio de la historia de las ideas en Venezuela</w:t>
      </w:r>
      <w:r>
        <w:rPr/>
        <w:t>. Editorial Alfa, 2013.</w:t>
      </w:r>
      <w:bookmarkEnd w:id="33"/>
    </w:p>
    <w:p>
      <w:pPr>
        <w:pStyle w:val="Bibliography"/>
        <w:rPr/>
      </w:pPr>
      <w:bookmarkStart w:id="34"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edited by Beatriz. González Stephan et al., Monte Avila Editores Latinoamericana, 1995, </w:t>
      </w:r>
      <w:hyperlink r:id="rId6">
        <w:r>
          <w:rPr>
            <w:rStyle w:val="InternetLink"/>
          </w:rPr>
          <w:t>https://books.google.com/books?id=5Tx3Sf4DvfsC</w:t>
        </w:r>
      </w:hyperlink>
      <w:r>
        <w:rPr/>
        <w:t>.</w:t>
      </w:r>
      <w:bookmarkEnd w:id="34"/>
    </w:p>
    <w:p>
      <w:pPr>
        <w:pStyle w:val="Bibliography"/>
        <w:rPr/>
      </w:pPr>
      <w:bookmarkStart w:id="35" w:name="ref-DefinitionDialegmatique"/>
      <w:r>
        <w:rPr/>
        <w:t>“</w:t>
      </w:r>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Accessed 17 Dec. 2022.</w:t>
      </w:r>
      <w:bookmarkEnd w:id="35"/>
    </w:p>
    <w:p>
      <w:pPr>
        <w:pStyle w:val="Bibliography"/>
        <w:rPr/>
      </w:pPr>
      <w:bookmarkStart w:id="36" w:name="ref-deleuzeMilMesetasCapitalismo2002"/>
      <w:r>
        <w:rPr/>
        <w:t xml:space="preserve">Deleuze, Gilles, and Félix Guattari. </w:t>
      </w:r>
      <w:r>
        <w:rPr>
          <w:i/>
          <w:iCs/>
        </w:rPr>
        <w:t>Mil mesetas: capitalismo y esquizofrenia</w:t>
      </w:r>
      <w:r>
        <w:rPr/>
        <w:t>. Translated by José Vásquez Pérez, 5th ed., Pre-Textos, 2002.</w:t>
      </w:r>
      <w:bookmarkEnd w:id="36"/>
    </w:p>
    <w:p>
      <w:pPr>
        <w:pStyle w:val="Bibliography"/>
        <w:rPr/>
      </w:pPr>
      <w:bookmarkStart w:id="37" w:name="ref-derridaSeminarioBestiaSoberano2010"/>
      <w:r>
        <w:rPr/>
        <w:t xml:space="preserve">Derrida, Jacques. </w:t>
      </w:r>
      <w:r>
        <w:rPr>
          <w:i/>
          <w:iCs/>
        </w:rPr>
        <w:t>Seminario La bestia y el soberano</w:t>
      </w:r>
      <w:r>
        <w:rPr/>
        <w:t>. Ediciones Manantial, 2010.</w:t>
      </w:r>
      <w:bookmarkEnd w:id="37"/>
    </w:p>
    <w:p>
      <w:pPr>
        <w:pStyle w:val="Bibliography"/>
        <w:rPr/>
      </w:pPr>
      <w:bookmarkStart w:id="38" w:name="ref-duranSupuestaInfluenciaRousseau2011"/>
      <w:r>
        <w:rPr/>
        <w:t xml:space="preserve">Durán, Maximiliano. “La supuesta influencia de Rousseau en el pensamiento de Simón Rodríguez: la ‘tesis del Emilio’.” </w:t>
      </w:r>
      <w:r>
        <w:rPr>
          <w:i/>
          <w:iCs/>
        </w:rPr>
        <w:t>Iberoamericana (Madrid, Spain)</w:t>
      </w:r>
      <w:r>
        <w:rPr/>
        <w:t>, vol. 11, no. 42, 2011, pp. 7–20.</w:t>
      </w:r>
      <w:bookmarkEnd w:id="38"/>
    </w:p>
    <w:p>
      <w:pPr>
        <w:pStyle w:val="Bibliography"/>
        <w:rPr/>
      </w:pPr>
      <w:bookmarkStart w:id="39" w:name="ref-duranLocuraNovedadEducacion2017"/>
      <w:r>
        <w:rPr/>
        <w:t xml:space="preserve">---. “Locura, novedad y educación en el pensamiento político de Simón Rodríguez: un abordaje filosófico.” </w:t>
      </w:r>
      <w:r>
        <w:rPr>
          <w:i/>
          <w:iCs/>
        </w:rPr>
        <w:t>Cadernos de História da Educação</w:t>
      </w:r>
      <w:r>
        <w:rPr/>
        <w:t xml:space="preserve">, vol. 16, no. 2, 2017, pp. 525–38, </w:t>
      </w:r>
      <w:hyperlink r:id="rId8">
        <w:r>
          <w:rPr>
            <w:rStyle w:val="InternetLink"/>
          </w:rPr>
          <w:t>https://seer.ufu.br/index.php/che/article/view/39602</w:t>
        </w:r>
      </w:hyperlink>
      <w:r>
        <w:rPr/>
        <w:t>.</w:t>
      </w:r>
      <w:bookmarkEnd w:id="39"/>
    </w:p>
    <w:p>
      <w:pPr>
        <w:pStyle w:val="Bibliography"/>
        <w:rPr/>
      </w:pPr>
      <w:bookmarkStart w:id="40" w:name="ref-echeverriaIntroduccion2003"/>
      <w:r>
        <w:rPr/>
        <w:t xml:space="preserve">Echeverría, Bolívar. “Introducción.” </w:t>
      </w:r>
      <w:r>
        <w:rPr>
          <w:i/>
          <w:iCs/>
        </w:rPr>
        <w:t>La obra de arte en la época de su reproductibilidad técnica</w:t>
      </w:r>
      <w:r>
        <w:rPr/>
        <w:t>, by Walter Benjamin and Andrés E. Weiker, Ítaca, 2003.</w:t>
      </w:r>
      <w:bookmarkEnd w:id="40"/>
    </w:p>
    <w:p>
      <w:pPr>
        <w:pStyle w:val="Bibliography"/>
        <w:rPr/>
      </w:pPr>
      <w:bookmarkStart w:id="41"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41"/>
    </w:p>
    <w:p>
      <w:pPr>
        <w:pStyle w:val="Bibliography"/>
        <w:rPr/>
      </w:pPr>
      <w:bookmarkStart w:id="42" w:name="ref-foucaultQueEsAutor2010"/>
      <w:r>
        <w:rPr/>
        <w:t xml:space="preserve">Foucault, Michel. </w:t>
      </w:r>
      <w:r>
        <w:rPr>
          <w:i/>
          <w:iCs/>
        </w:rPr>
        <w:t>Qué es un autor</w:t>
      </w:r>
      <w:r>
        <w:rPr/>
        <w:t>. El Cuenco de Plata, 2010.</w:t>
      </w:r>
      <w:bookmarkEnd w:id="42"/>
    </w:p>
    <w:p>
      <w:pPr>
        <w:pStyle w:val="Bibliography"/>
        <w:rPr/>
      </w:pPr>
      <w:bookmarkStart w:id="43" w:name="ref-graeberDawnEverythingNew2021"/>
      <w:r>
        <w:rPr/>
        <w:t xml:space="preserve">Graeber, David, and D. Wengrow. </w:t>
      </w:r>
      <w:r>
        <w:rPr>
          <w:i/>
          <w:iCs/>
        </w:rPr>
        <w:t>The dawn of everything: a new history of humanity</w:t>
      </w:r>
      <w:r>
        <w:rPr/>
        <w:t>. Unabridged, Macmillan Audio, 2021.</w:t>
      </w:r>
      <w:bookmarkEnd w:id="43"/>
    </w:p>
    <w:p>
      <w:pPr>
        <w:pStyle w:val="Bibliography"/>
        <w:rPr/>
      </w:pPr>
      <w:bookmarkStart w:id="44" w:name="ref-hobsbawmNationsNationalism17801990"/>
      <w:r>
        <w:rPr/>
        <w:t xml:space="preserve">Hobsbawm, E. J. </w:t>
      </w:r>
      <w:r>
        <w:rPr>
          <w:i/>
          <w:iCs/>
        </w:rPr>
        <w:t>Nations and nationalism since 1780: programme, myth, reality</w:t>
      </w:r>
      <w:r>
        <w:rPr/>
        <w:t>. Cambridge University Press, 1990.</w:t>
      </w:r>
      <w:bookmarkEnd w:id="44"/>
    </w:p>
    <w:p>
      <w:pPr>
        <w:pStyle w:val="Bibliography"/>
        <w:rPr/>
      </w:pPr>
      <w:bookmarkStart w:id="45"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45"/>
    </w:p>
    <w:p>
      <w:pPr>
        <w:pStyle w:val="Bibliography"/>
        <w:rPr/>
      </w:pPr>
      <w:bookmarkStart w:id="46"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46"/>
    </w:p>
    <w:p>
      <w:pPr>
        <w:pStyle w:val="Bibliography"/>
        <w:rPr/>
      </w:pPr>
      <w:bookmarkStart w:id="47"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47"/>
    </w:p>
    <w:p>
      <w:pPr>
        <w:pStyle w:val="Bibliography"/>
        <w:rPr/>
      </w:pPr>
      <w:bookmarkStart w:id="48" w:name="ref-lecunaSenorDonSimon1947"/>
      <w:r>
        <w:rPr/>
        <w:t xml:space="preserve">Lecuna, Vicente, editor. “Al señor Don Simón Rodríguez.” </w:t>
      </w:r>
      <w:r>
        <w:rPr>
          <w:i/>
          <w:iCs/>
        </w:rPr>
        <w:t>Obras completas</w:t>
      </w:r>
      <w:r>
        <w:rPr/>
        <w:t>, by Simón Bolívar, Ediciones Lisama, 1947.</w:t>
      </w:r>
      <w:bookmarkEnd w:id="48"/>
    </w:p>
    <w:p>
      <w:pPr>
        <w:pStyle w:val="Bibliography"/>
        <w:rPr/>
      </w:pPr>
      <w:bookmarkStart w:id="49" w:name="X4c2da6591ec1a753ff9dbca9b45c70a0dd016e5"/>
      <w:r>
        <w:rPr/>
        <w:t xml:space="preserve">Lezama Lima, José. “El romanticismo y el hecho americano.” </w:t>
      </w:r>
      <w:r>
        <w:rPr>
          <w:i/>
          <w:iCs/>
        </w:rPr>
        <w:t>La expresión americana</w:t>
      </w:r>
      <w:r>
        <w:rPr/>
        <w:t>, edited by Irlemar. Chiampi, Confluencias, 2011.</w:t>
      </w:r>
      <w:bookmarkEnd w:id="49"/>
    </w:p>
    <w:p>
      <w:pPr>
        <w:pStyle w:val="Bibliography"/>
        <w:rPr/>
      </w:pPr>
      <w:bookmarkStart w:id="50" w:name="ref-lopezCirculoBellasArtes1998"/>
      <w:r>
        <w:rPr/>
        <w:t xml:space="preserve">López, José Enrique, et al. “El Círculo de Bellas Artes y La Modernidad Pictórica En Venezuela.” </w:t>
      </w:r>
      <w:r>
        <w:rPr>
          <w:i/>
          <w:iCs/>
        </w:rPr>
        <w:t>Gaceta Médica de Caracas</w:t>
      </w:r>
      <w:r>
        <w:rPr/>
        <w:t>, vol. 1, no. 106, 1998, pp. 89–102.</w:t>
      </w:r>
      <w:bookmarkEnd w:id="50"/>
    </w:p>
    <w:p>
      <w:pPr>
        <w:pStyle w:val="Bibliography"/>
        <w:rPr/>
      </w:pPr>
      <w:bookmarkStart w:id="51" w:name="ref-lozanoylozanoMaestroLibertador1913"/>
      <w:r>
        <w:rPr/>
        <w:t xml:space="preserve">Lozano y Lozano, Fabio. </w:t>
      </w:r>
      <w:r>
        <w:rPr>
          <w:i/>
          <w:iCs/>
        </w:rPr>
        <w:t>El maestro del Libertador</w:t>
      </w:r>
      <w:r>
        <w:rPr/>
        <w:t>. P. Ollendorff, 1913.</w:t>
      </w:r>
      <w:bookmarkEnd w:id="51"/>
    </w:p>
    <w:p>
      <w:pPr>
        <w:pStyle w:val="Bibliography"/>
        <w:rPr/>
      </w:pPr>
      <w:bookmarkStart w:id="52"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no. 33, Jan. 1877, </w:t>
      </w:r>
      <w:hyperlink r:id="rId11">
        <w:r>
          <w:rPr>
            <w:rStyle w:val="InternetLink"/>
          </w:rPr>
          <w:t>https://gallica.bnf.fr/ark:/12148/bpt6k344072</w:t>
        </w:r>
      </w:hyperlink>
      <w:r>
        <w:rPr/>
        <w:t>.</w:t>
      </w:r>
      <w:bookmarkEnd w:id="52"/>
    </w:p>
    <w:p>
      <w:pPr>
        <w:pStyle w:val="Bibliography"/>
        <w:rPr/>
      </w:pPr>
      <w:bookmarkStart w:id="53"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no. 75, 2016, pp. 113–37.</w:t>
      </w:r>
      <w:bookmarkEnd w:id="53"/>
    </w:p>
    <w:p>
      <w:pPr>
        <w:pStyle w:val="Bibliography"/>
        <w:rPr/>
      </w:pPr>
      <w:bookmarkStart w:id="54" w:name="ref-moralesCronologia1990"/>
      <w:r>
        <w:rPr/>
        <w:t xml:space="preserve">Morales, Fabio, and Departamento Técnico de Biblioteca Ayacucho. “Cronología.” </w:t>
      </w:r>
      <w:r>
        <w:rPr>
          <w:i/>
          <w:iCs/>
        </w:rPr>
        <w:t>Sociedades americanas</w:t>
      </w:r>
      <w:r>
        <w:rPr/>
        <w:t>, by Simón. Rodríguez, Biblioteca Ayacucho, 1990.</w:t>
      </w:r>
      <w:bookmarkEnd w:id="54"/>
    </w:p>
    <w:p>
      <w:pPr>
        <w:pStyle w:val="Bibliography"/>
        <w:rPr/>
      </w:pPr>
      <w:bookmarkStart w:id="55" w:name="ref-pulgarmachadoPreguntasSobreAutoridad"/>
      <w:r>
        <w:rPr/>
        <w:t xml:space="preserve">Pulgar Machado, Camila. “Preguntas sobre la autoridad de Simón Rodríguez.” </w:t>
      </w:r>
      <w:r>
        <w:rPr>
          <w:i/>
          <w:iCs/>
        </w:rPr>
        <w:t>Guaraguao</w:t>
      </w:r>
      <w:r>
        <w:rPr/>
        <w:t xml:space="preserve">, vol. 20, p. 44. </w:t>
      </w:r>
      <w:r>
        <w:rPr>
          <w:i/>
          <w:iCs/>
        </w:rPr>
        <w:t>Open WorldCat</w:t>
      </w:r>
      <w:r>
        <w:rPr/>
        <w:t xml:space="preserve">, </w:t>
      </w:r>
      <w:hyperlink r:id="rId12">
        <w:r>
          <w:rPr>
            <w:rStyle w:val="InternetLink"/>
          </w:rPr>
          <w:t>http://www.jstor.org/stable/44078706</w:t>
        </w:r>
      </w:hyperlink>
      <w:r>
        <w:rPr/>
        <w:t>. Accessed 10 Mar. 2023.</w:t>
      </w:r>
      <w:bookmarkEnd w:id="55"/>
    </w:p>
    <w:p>
      <w:pPr>
        <w:pStyle w:val="Bibliography"/>
        <w:rPr/>
      </w:pPr>
      <w:bookmarkStart w:id="56" w:name="ref-raeExotericaExotericoDiccionario2022"/>
      <w:r>
        <w:rPr/>
        <w:t xml:space="preserve">RAE. “exotérica, exotérico | Diccionario panhispánico de dudas.” </w:t>
      </w:r>
      <w:r>
        <w:rPr>
          <w:i/>
          <w:iCs/>
        </w:rPr>
        <w:t>Diccionario panhispánico de dudas</w:t>
      </w:r>
      <w:r>
        <w:rPr/>
        <w:t xml:space="preserve">, 6 Nov. 2022, </w:t>
      </w:r>
      <w:hyperlink r:id="rId13">
        <w:r>
          <w:rPr>
            <w:rStyle w:val="InternetLink"/>
          </w:rPr>
          <w:t>https://www.rae.es/dpd/exotérica</w:t>
        </w:r>
      </w:hyperlink>
      <w:r>
        <w:rPr/>
        <w:t>.</w:t>
      </w:r>
      <w:bookmarkEnd w:id="56"/>
    </w:p>
    <w:p>
      <w:pPr>
        <w:pStyle w:val="Bibliography"/>
        <w:rPr/>
      </w:pPr>
      <w:bookmarkStart w:id="57" w:name="ref-rawiczCampoLatinoamericanista2022"/>
      <w:r>
        <w:rPr/>
        <w:t xml:space="preserve">Rawicz, Daniela, and Rafael Mondragón. “El campo latinoamericanista.” </w:t>
      </w:r>
      <w:r>
        <w:rPr>
          <w:i/>
          <w:iCs/>
        </w:rPr>
        <w:t>Estudios críticos sobre Sociedades americanas en 1828 de Simón Rodríguez</w:t>
      </w:r>
      <w:r>
        <w:rPr/>
        <w:t>, edited by María del Rayo Ramírez et al., Universidad Autónoma de la Ciudad de México, 2022.</w:t>
      </w:r>
      <w:bookmarkEnd w:id="57"/>
    </w:p>
    <w:p>
      <w:pPr>
        <w:pStyle w:val="Bibliography"/>
        <w:rPr/>
      </w:pPr>
      <w:bookmarkStart w:id="58" w:name="ref-rodriguezInventamosErramos2004"/>
      <w:r>
        <w:rPr/>
        <w:t xml:space="preserve">Rodríguez, Simón. </w:t>
      </w:r>
      <w:r>
        <w:rPr>
          <w:i/>
          <w:iCs/>
        </w:rPr>
        <w:t>Inventamos o erramos</w:t>
      </w:r>
      <w:r>
        <w:rPr/>
        <w:t>. Edited by Dardo Cúneo, Monte Avila, 2004.</w:t>
      </w:r>
      <w:bookmarkEnd w:id="58"/>
    </w:p>
    <w:p>
      <w:pPr>
        <w:pStyle w:val="Bibliography"/>
        <w:rPr/>
      </w:pPr>
      <w:bookmarkStart w:id="59" w:name="ref-RodriguezSimon"/>
      <w:r>
        <w:rPr/>
        <w:t>“</w:t>
      </w:r>
      <w:r>
        <w:rPr/>
        <w:t xml:space="preserve">Rodríguez, Simón.” </w:t>
      </w:r>
      <w:r>
        <w:rPr>
          <w:i/>
          <w:iCs/>
        </w:rPr>
        <w:t>Diccionario de historia de Venezuela. Fundación Empresas Polar</w:t>
      </w:r>
      <w:r>
        <w:rPr/>
        <w:t xml:space="preserve">, </w:t>
      </w:r>
      <w:hyperlink r:id="rId14">
        <w:r>
          <w:rPr>
            <w:rStyle w:val="InternetLink"/>
          </w:rPr>
          <w:t>https://bibliofep.fundacionempresaspolar.org/dhv/entradas/r/rodriguez-simon/</w:t>
        </w:r>
      </w:hyperlink>
      <w:r>
        <w:rPr/>
        <w:t>. Accessed 27 May 2022.</w:t>
      </w:r>
      <w:bookmarkEnd w:id="59"/>
    </w:p>
    <w:p>
      <w:pPr>
        <w:pStyle w:val="Bibliography"/>
        <w:rPr/>
      </w:pPr>
      <w:bookmarkStart w:id="60"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60"/>
    </w:p>
    <w:p>
      <w:pPr>
        <w:pStyle w:val="Bibliography"/>
        <w:rPr/>
      </w:pPr>
      <w:bookmarkStart w:id="61" w:name="Xb1f00bbdd6f2470181f2c5426e97d6fa78accce"/>
      <w:r>
        <w:rPr/>
        <w:t xml:space="preserve">---. </w:t>
      </w:r>
      <w:r>
        <w:rPr>
          <w:i/>
          <w:iCs/>
        </w:rPr>
        <w:t>Sociedades Americanas en 1828. Cómo serán y cómo podrían ser en los siglos venideros</w:t>
      </w:r>
      <w:r>
        <w:rPr/>
        <w:t>. Universidad Autónoma Metropolitana, 2018.</w:t>
      </w:r>
      <w:bookmarkEnd w:id="61"/>
    </w:p>
    <w:p>
      <w:pPr>
        <w:pStyle w:val="Bibliography"/>
        <w:rPr/>
      </w:pPr>
      <w:bookmarkStart w:id="62" w:name="ref-rodriguezSociedadesAmericanas1828"/>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w:t>
      </w:r>
      <w:bookmarkEnd w:id="62"/>
    </w:p>
    <w:p>
      <w:pPr>
        <w:pStyle w:val="Bibliography"/>
        <w:rPr/>
      </w:pPr>
      <w:bookmarkStart w:id="63" w:name="Xf27b1d5ff486e38d22d1aa97c51a774ae53bf89"/>
      <w:r>
        <w:rPr/>
        <w:t xml:space="preserve">---. </w:t>
      </w:r>
      <w:r>
        <w:rPr>
          <w:i/>
          <w:iCs/>
        </w:rPr>
        <w:t>Sociedades Americanas en 1828. Luces y virtudes sociales</w:t>
      </w:r>
      <w:r>
        <w:rPr/>
        <w:t>. Universidad Autónoma Metropolitana, 2018.</w:t>
      </w:r>
      <w:bookmarkEnd w:id="63"/>
    </w:p>
    <w:p>
      <w:pPr>
        <w:pStyle w:val="Bibliography"/>
        <w:rPr/>
      </w:pPr>
      <w:bookmarkStart w:id="64" w:name="ref-rotkerBravoPuebloPoder2005"/>
      <w:r>
        <w:rPr/>
        <w:t xml:space="preserve">Rotker, Susana. </w:t>
      </w:r>
      <w:r>
        <w:rPr>
          <w:i/>
          <w:iCs/>
        </w:rPr>
        <w:t>Bravo pueblo : poder, utopía y violencia</w:t>
      </w:r>
      <w:r>
        <w:rPr/>
        <w:t>. Fondo Editorial Nave Va, 2005.</w:t>
      </w:r>
      <w:bookmarkEnd w:id="64"/>
    </w:p>
    <w:p>
      <w:pPr>
        <w:pStyle w:val="Bibliography"/>
        <w:rPr/>
      </w:pPr>
      <w:bookmarkStart w:id="65" w:name="ref-rotkerNationMockeryOppositional1996"/>
      <w:r>
        <w:rPr/>
        <w:t xml:space="preserve">Rotker, Susana. “Nation and mockery: the oppositional writings of Simon Rodriguez.” </w:t>
      </w:r>
      <w:r>
        <w:rPr>
          <w:i/>
          <w:iCs/>
        </w:rPr>
        <w:t>Modern Language Quarterly</w:t>
      </w:r>
      <w:r>
        <w:rPr/>
        <w:t xml:space="preserve">, vol. 57, no. 2, June 1996, pp. 253–53. Gale Academic OneFile Select, </w:t>
      </w:r>
      <w:r>
        <w:rPr>
          <w:i/>
          <w:iCs/>
        </w:rPr>
        <w:t>Gale</w:t>
      </w:r>
      <w:r>
        <w:rPr/>
        <w:t xml:space="preserve">, </w:t>
      </w:r>
      <w:hyperlink r:id="rId15">
        <w:r>
          <w:rPr>
            <w:rStyle w:val="InternetLink"/>
          </w:rPr>
          <w:t>http://link.gale.com/apps/doc/A18579177/EAIM?u=nd_ref&amp;sid=zotero&amp;xid=ddea8d51</w:t>
        </w:r>
      </w:hyperlink>
      <w:r>
        <w:rPr/>
        <w:t>.</w:t>
      </w:r>
      <w:bookmarkEnd w:id="65"/>
    </w:p>
    <w:p>
      <w:pPr>
        <w:pStyle w:val="Bibliography"/>
        <w:rPr/>
      </w:pPr>
      <w:bookmarkStart w:id="66" w:name="ref-rousseauEmile"/>
      <w:r>
        <w:rPr/>
        <w:t xml:space="preserve">Rousseau, Jean-Jacques. </w:t>
      </w:r>
      <w:r>
        <w:rPr>
          <w:i/>
          <w:iCs/>
        </w:rPr>
        <w:t>Emile</w:t>
      </w:r>
      <w:r>
        <w:rPr/>
        <w:t xml:space="preserve">. </w:t>
      </w:r>
      <w:hyperlink r:id="rId16">
        <w:r>
          <w:rPr>
            <w:rStyle w:val="InternetLink"/>
          </w:rPr>
          <w:t>https://www.gutenberg.org/files/5427/5427-h/5427-h.htm</w:t>
        </w:r>
      </w:hyperlink>
      <w:r>
        <w:rPr/>
        <w:t>. Accessed 16 Jan. 2023.</w:t>
      </w:r>
      <w:bookmarkEnd w:id="66"/>
    </w:p>
    <w:p>
      <w:pPr>
        <w:pStyle w:val="Bibliography"/>
        <w:rPr/>
      </w:pPr>
      <w:bookmarkStart w:id="67"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7">
        <w:r>
          <w:rPr>
            <w:rStyle w:val="InternetLink"/>
          </w:rPr>
          <w:t>http://core.cambeiro.com.ar/0-170082-1.pdf</w:t>
        </w:r>
      </w:hyperlink>
      <w:r>
        <w:rPr/>
        <w:t>.</w:t>
      </w:r>
      <w:bookmarkEnd w:id="67"/>
    </w:p>
    <w:p>
      <w:pPr>
        <w:pStyle w:val="Bibliography"/>
        <w:rPr/>
      </w:pPr>
      <w:bookmarkStart w:id="68" w:name="Xe6fed8e939d0d04b675690c32b2a468aa120998"/>
      <w:r>
        <w:rPr/>
        <w:t xml:space="preserve">Rumazo González, Alfonso. “Estudio introductorio.” </w:t>
      </w:r>
      <w:r>
        <w:rPr>
          <w:i/>
          <w:iCs/>
        </w:rPr>
        <w:t>Obras completas</w:t>
      </w:r>
      <w:r>
        <w:rPr/>
        <w:t>, by Simón Rodríguez, vol. 1, Universidad Simón Rodríguez, 1975.</w:t>
      </w:r>
      <w:bookmarkEnd w:id="68"/>
    </w:p>
    <w:p>
      <w:pPr>
        <w:pStyle w:val="Bibliography"/>
        <w:rPr/>
      </w:pPr>
      <w:bookmarkStart w:id="69" w:name="X9e9e7cf04d1a2f74f2eb8fdc2f9a0ecce20c1ec"/>
      <w:r>
        <w:rPr/>
        <w:t xml:space="preserve">---. </w:t>
      </w:r>
      <w:r>
        <w:rPr>
          <w:i/>
          <w:iCs/>
        </w:rPr>
        <w:t>Simón Rodríguez, Maestro de América</w:t>
      </w:r>
      <w:r>
        <w:rPr/>
        <w:t>. Ministerio de Comunicación e Información, 2006.</w:t>
      </w:r>
      <w:bookmarkEnd w:id="69"/>
    </w:p>
    <w:p>
      <w:pPr>
        <w:pStyle w:val="Bibliography"/>
        <w:rPr/>
      </w:pPr>
      <w:bookmarkStart w:id="70" w:name="ref-smithWealthNations1991"/>
      <w:r>
        <w:rPr/>
        <w:t xml:space="preserve">Smith, Adam. </w:t>
      </w:r>
      <w:r>
        <w:rPr>
          <w:i/>
          <w:iCs/>
        </w:rPr>
        <w:t>The wealth of nations</w:t>
      </w:r>
      <w:r>
        <w:rPr/>
        <w:t xml:space="preserve">. Knopf : Distributed by Random House, 1991, </w:t>
      </w:r>
      <w:hyperlink r:id="rId18">
        <w:r>
          <w:rPr>
            <w:rStyle w:val="InternetLink"/>
          </w:rPr>
          <w:t>http://catdir.loc.gov/catdir/enhancements/fy0703/91052981-s.html</w:t>
        </w:r>
      </w:hyperlink>
      <w:r>
        <w:rPr/>
        <w:t>.</w:t>
      </w:r>
      <w:bookmarkEnd w:id="70"/>
    </w:p>
    <w:p>
      <w:pPr>
        <w:pStyle w:val="Bibliography"/>
        <w:rPr/>
      </w:pPr>
      <w:bookmarkStart w:id="71" w:name="ref-stuartmillNature"/>
      <w:r>
        <w:rPr/>
        <w:t xml:space="preserve">Stuart Mill, John. </w:t>
      </w:r>
      <w:r>
        <w:rPr>
          <w:i/>
          <w:iCs/>
        </w:rPr>
        <w:t>On Nature</w:t>
      </w:r>
      <w:r>
        <w:rPr/>
        <w:t xml:space="preserve">. </w:t>
      </w:r>
      <w:hyperlink r:id="rId19">
        <w:r>
          <w:rPr>
            <w:rStyle w:val="InternetLink"/>
          </w:rPr>
          <w:t>https://www.lancaster.ac.uk/users/philosophy/texts/mill_on.htm</w:t>
        </w:r>
      </w:hyperlink>
      <w:r>
        <w:rPr/>
        <w:t>. Accessed 17 Jan. 2023.</w:t>
      </w:r>
      <w:bookmarkEnd w:id="71"/>
    </w:p>
    <w:p>
      <w:pPr>
        <w:pStyle w:val="Bibliography"/>
        <w:rPr/>
      </w:pPr>
      <w:bookmarkStart w:id="72" w:name="ref-treschRomanticMachineUtopian2012"/>
      <w:r>
        <w:rPr/>
        <w:t xml:space="preserve">Tresch, John. </w:t>
      </w:r>
      <w:r>
        <w:rPr>
          <w:i/>
          <w:iCs/>
        </w:rPr>
        <w:t>The romantic machine: utopian science and technology after Napoleon</w:t>
      </w:r>
      <w:r>
        <w:rPr/>
        <w:t>. University of Chicago Press, The University of Chicago Press, 2012.</w:t>
      </w:r>
      <w:bookmarkEnd w:id="72"/>
    </w:p>
    <w:p>
      <w:pPr>
        <w:pStyle w:val="Bibliography"/>
        <w:rPr/>
      </w:pPr>
      <w:bookmarkStart w:id="73" w:name="ref-ulloaJoseLezamaLima1998"/>
      <w:r>
        <w:rPr/>
        <w:t xml:space="preserve">Ulloa, Leonor A., and Justo C. Ulloa. “José Lezama Lima: configuración mítica de América.” </w:t>
      </w:r>
      <w:r>
        <w:rPr>
          <w:i/>
          <w:iCs/>
        </w:rPr>
        <w:t>MLN</w:t>
      </w:r>
      <w:r>
        <w:rPr/>
        <w:t xml:space="preserve">, vol. 113, no. 2, 1998, pp. 364–79. </w:t>
      </w:r>
      <w:r>
        <w:rPr>
          <w:i/>
          <w:iCs/>
        </w:rPr>
        <w:t>JSTOR</w:t>
      </w:r>
      <w:r>
        <w:rPr/>
        <w:t xml:space="preserve">, </w:t>
      </w:r>
      <w:hyperlink r:id="rId20">
        <w:r>
          <w:rPr>
            <w:rStyle w:val="InternetLink"/>
          </w:rPr>
          <w:t>http://www.jstor.org/stable/3251480</w:t>
        </w:r>
      </w:hyperlink>
      <w:r>
        <w:rPr/>
        <w:t>.</w:t>
      </w:r>
      <w:bookmarkEnd w:id="73"/>
    </w:p>
    <w:p>
      <w:pPr>
        <w:pStyle w:val="Bibliography"/>
        <w:rPr/>
      </w:pPr>
      <w:bookmarkStart w:id="74"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1">
        <w:r>
          <w:rPr>
            <w:rStyle w:val="InternetLink"/>
          </w:rPr>
          <w:t>https://babel.hathitrust.org/cgi/pt?id=nyp.33433000048565&amp;view=1up&amp;seq=7&amp;skin=2021</w:t>
        </w:r>
      </w:hyperlink>
      <w:r>
        <w:rPr/>
        <w:t>.</w:t>
      </w:r>
      <w:bookmarkEnd w:id="74"/>
    </w:p>
    <w:p>
      <w:pPr>
        <w:pStyle w:val="Bibliography"/>
        <w:rPr/>
      </w:pPr>
      <w:bookmarkStart w:id="75" w:name="X7d6f9ea63e2d66bf260d46ad42bbe2c747978be"/>
      <w:r>
        <w:rPr/>
        <w:t xml:space="preserve">Uslar Pietri, Arturo. </w:t>
      </w:r>
      <w:r>
        <w:rPr>
          <w:i/>
          <w:iCs/>
        </w:rPr>
        <w:t>Letras y hombres de Venezuela.</w:t>
      </w:r>
      <w:r>
        <w:rPr/>
        <w:t xml:space="preserve"> Fondo de Cultura Economica, 1948.</w:t>
      </w:r>
      <w:bookmarkEnd w:id="75"/>
    </w:p>
    <w:p>
      <w:pPr>
        <w:pStyle w:val="Bibliography"/>
        <w:rPr/>
      </w:pPr>
      <w:bookmarkStart w:id="76" w:name="ref-uslarpietriPrologo1954"/>
      <w:r>
        <w:rPr/>
        <w:t xml:space="preserve">Úslar Pietri, Arturo. “Prólogo.” </w:t>
      </w:r>
      <w:r>
        <w:rPr>
          <w:i/>
          <w:iCs/>
        </w:rPr>
        <w:t>Escritos</w:t>
      </w:r>
      <w:r>
        <w:rPr/>
        <w:t>, by Simón Rodríguez, Imprenta Nacional, 1954.</w:t>
      </w:r>
      <w:bookmarkEnd w:id="76"/>
    </w:p>
    <w:p>
      <w:pPr>
        <w:pStyle w:val="Bibliography"/>
        <w:rPr/>
      </w:pPr>
      <w:bookmarkStart w:id="77" w:name="ref-williamsCultureMaterialism2020"/>
      <w:r>
        <w:rPr/>
        <w:t xml:space="preserve">Williams, Raymond. </w:t>
      </w:r>
      <w:r>
        <w:rPr>
          <w:i/>
          <w:iCs/>
        </w:rPr>
        <w:t>Culture and materialism</w:t>
      </w:r>
      <w:r>
        <w:rPr/>
        <w:t>. Verso, 2020.</w:t>
      </w:r>
      <w:bookmarkEnd w:id="77"/>
    </w:p>
    <w:p>
      <w:pPr>
        <w:pStyle w:val="Bibliography"/>
        <w:spacing w:before="0" w:after="200"/>
        <w:rPr/>
      </w:pPr>
      <w:bookmarkStart w:id="78" w:name="ref-wollstonecraftVindicationRightsWoman"/>
      <w:r>
        <w:rPr/>
        <w:t xml:space="preserve">Wollstonecraft, Mary. </w:t>
      </w:r>
      <w:r>
        <w:rPr>
          <w:i/>
          <w:iCs/>
        </w:rPr>
        <w:t>A Vindication of the Rights of Woman – Ch 5</w:t>
      </w:r>
      <w:r>
        <w:rPr/>
        <w:t xml:space="preserve">. </w:t>
      </w:r>
      <w:hyperlink r:id="rId22">
        <w:r>
          <w:rPr>
            <w:rStyle w:val="InternetLink"/>
          </w:rPr>
          <w:t>https://www.marxists.org/reference/archive/wollstonecraft-mary/1792/vindication-rights-woman/ch05.htm</w:t>
        </w:r>
      </w:hyperlink>
      <w:r>
        <w:rPr/>
        <w:t>. Accessed 16 Jan. 2023.</w:t>
      </w:r>
      <w:bookmarkEnd w:id="13"/>
      <w:bookmarkEnd w:id="19"/>
      <w:bookmarkEnd w:id="21"/>
      <w:bookmarkEnd w:id="78"/>
      <w:r>
        <w:br w:type="page"/>
      </w:r>
    </w:p>
    <w:p>
      <w:pPr>
        <w:pStyle w:val="TextBody"/>
        <w:rPr/>
      </w:pPr>
      <w:r>
        <w:rPr/>
        <w:t>la técnica del Rodríguez escritor descoyunta los engranajes de la progresión homogénea y lineal de la modernidad artística y literaria, la técnica del Rodríguez narrador oral saca de sus casillas la historia política y militar hegemónica de América Latina.</w:t>
      </w:r>
    </w:p>
    <w:p>
      <w:pPr>
        <w:pStyle w:val="TextBody"/>
        <w:spacing w:before="180" w:after="18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28T08:52:56Z" w:initials="">
    <w:p>
      <w:r>
        <w:rPr>
          <w:rFonts w:ascii="Cambria" w:hAnsi="Cambria" w:eastAsia="Cambria"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s-AR" w:eastAsia="en-US" w:bidi="ar-SA"/>
        </w:rPr>
        <w:t>Dig deeper en lo de “casillas”. Porque la isocronía se compone precisamente de “casillas”. De hecho, aquí sería bueno de una vez introducir esos dos conceptos.</w:t>
      </w:r>
    </w:p>
  </w:comment>
  <w:comment w:id="1" w:author="Unknown Author" w:date="2023-06-28T09:18:5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Ampliar esta idea, tratando de concretar eso que imagino como un efecto de distanciamiento o extrañamiento que la obra de Rodríguez imprime sobre la lectura secuencial de esta historia</w:t>
      </w:r>
    </w:p>
  </w:comment>
  <w:comment w:id="2" w:author="Unknown Author" w:date="2023-06-28T09:23:4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Antes del problema diacrónico, uno sincrónico</w:t>
      </w:r>
    </w:p>
  </w:comment>
  <w:comment w:id="3" w:author="Unknown Author" w:date="2023-06-28T09:25:3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Algo de text mining, o en general dar mejores pruebas de lo que se ha leído, quizá aterrizando en la noción de “puente roto” que aparece en la entrevista con Juan Calzadilla</w:t>
      </w:r>
    </w:p>
  </w:comment>
  <w:comment w:id="4" w:author="Unknown Author" w:date="2023-06-28T09:33:5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Los hilos sueltos de la rostrificación</w:t>
      </w:r>
    </w:p>
  </w:comment>
  <w:comment w:id="5" w:author="Unknown Author" w:date="2023-06-28T09:52:0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Mejorar transición: adelantar lo que viene con más claridad, adelantando las conclusiones</w:t>
      </w:r>
    </w:p>
  </w:comment>
  <w:comment w:id="6" w:author="Unknown Author" w:date="2023-06-28T09:58:1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Introducirlo mejor #Aaayyy</w:t>
      </w:r>
    </w:p>
  </w:comment>
  <w:comment w:id="7" w:author="Unknown Author" w:date="2023-06-28T09:56:4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interesante pero distractor</w:t>
      </w:r>
    </w:p>
  </w:comment>
  <w:comment w:id="8" w:author="Unknown Author" w:date="2023-06-28T10:02:3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Encontrar un mejor apoyo para sostener esta afirmación</w:t>
      </w:r>
    </w:p>
  </w:comment>
  <w:comment w:id="9" w:author="Unknown Author" w:date="2023-06-28T10:07:4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Mejorar mucho la glosa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referencias a las discusiones historiográficas sobre esto</w:t>
      </w:r>
    </w:p>
  </w:footnote>
  <w:footnote w:id="3">
    <w:p>
      <w:pPr>
        <w:pStyle w:val="Footnote"/>
        <w:spacing w:before="0" w:after="200"/>
        <w:rPr/>
      </w:pPr>
      <w:r>
        <w:rPr>
          <w:rStyle w:val="FootnoteCharacters"/>
        </w:rPr>
        <w:footnoteRef/>
      </w:r>
      <w:r>
        <w:rPr/>
        <w:t xml:space="preserve">  </w:t>
      </w:r>
      <w:r>
        <w:rPr/>
        <w:t>cuáles</w:t>
      </w:r>
    </w:p>
  </w:footnote>
  <w:footnote w:id="4">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 w:id="5">
    <w:p>
      <w:pPr>
        <w:pStyle w:val="Footnote"/>
        <w:spacing w:before="0" w:after="200"/>
        <w:rPr/>
      </w:pPr>
      <w:r>
        <w:rPr>
          <w:rStyle w:val="FootnoteCharacters"/>
        </w:rPr>
        <w:footnoteRef/>
      </w:r>
      <w:r>
        <w:rPr/>
        <w:t xml:space="preserve">  </w:t>
      </w:r>
      <w:r>
        <w:rPr/>
        <w:t>me refiero a todos los críticos que han señalado esto</w:t>
      </w:r>
    </w:p>
  </w:footnote>
  <w:footnote w:id="6">
    <w:p>
      <w:pPr>
        <w:pStyle w:val="Footnote"/>
        <w:spacing w:before="0" w:after="200"/>
        <w:rPr/>
      </w:pPr>
      <w:r>
        <w:rPr>
          <w:rStyle w:val="FootnoteCharacters"/>
        </w:rPr>
        <w:footnoteRef/>
      </w:r>
      <w:r>
        <w:rPr/>
        <w:t xml:space="preserve">  </w:t>
      </w:r>
      <w:r>
        <w:rPr/>
        <w:t>menciono aquí varias de ellas</w:t>
      </w:r>
    </w:p>
  </w:footnote>
  <w:footnote w:id="7">
    <w:p>
      <w:pPr>
        <w:pStyle w:val="Footnote"/>
        <w:spacing w:before="0" w:after="200"/>
        <w:rPr/>
      </w:pPr>
      <w:r>
        <w:rPr>
          <w:rStyle w:val="FootnoteCharacters"/>
        </w:rPr>
        <w:footnoteRef/>
      </w:r>
      <w:r>
        <w:rPr/>
        <w:t xml:space="preserve">  </w:t>
      </w:r>
      <w:r>
        <w:rPr/>
        <w:t>aquí las enumero</w:t>
      </w:r>
    </w:p>
  </w:footnote>
  <w:footnote w:id="8">
    <w:p>
      <w:pPr>
        <w:pStyle w:val="Footnote"/>
        <w:spacing w:before="0" w:after="200"/>
        <w:rPr/>
      </w:pPr>
      <w:r>
        <w:rPr>
          <w:rStyle w:val="FootnoteCharacters"/>
        </w:rPr>
        <w:footnoteRef/>
      </w:r>
      <w:r>
        <w:rPr/>
        <w:t xml:space="preserve">  </w:t>
      </w:r>
      <w:r>
        <w:rPr/>
        <w:t>Sobre el humor de Rodríguez ver Susana Rotker y Susana Rotker</w:t>
      </w:r>
    </w:p>
  </w:footnote>
  <w:footnote w:id="9">
    <w:p>
      <w:pPr>
        <w:pStyle w:val="Footnote"/>
        <w:spacing w:before="0" w:after="200"/>
        <w:rPr/>
      </w:pPr>
      <w:r>
        <w:rPr>
          <w:rStyle w:val="FootnoteCharacters"/>
        </w:rPr>
        <w:footnoteRef/>
      </w:r>
      <w:r>
        <w:rPr/>
        <w:t xml:space="preserve">  </w:t>
      </w:r>
      <w:r>
        <w:rPr/>
        <w:t>referencia a trabajos recientes sobre homoerotismo en la cutura decimonónica latinoamericana</w:t>
      </w:r>
    </w:p>
  </w:footnote>
  <w:footnote w:id="10">
    <w:p>
      <w:pPr>
        <w:pStyle w:val="Footnote"/>
        <w:spacing w:before="0" w:after="200"/>
        <w:rPr/>
      </w:pPr>
      <w:r>
        <w:rPr>
          <w:rStyle w:val="FootnoteCharacters"/>
        </w:rPr>
        <w:footnoteRef/>
      </w:r>
      <w:r>
        <w:rPr/>
        <w:t xml:space="preserve">  </w:t>
      </w:r>
      <w:r>
        <w:rPr/>
        <w:t>menciono aquí los textos de Mitre, Amunátegui y Lastarria</w:t>
      </w:r>
    </w:p>
  </w:footnote>
  <w:footnote w:id="11">
    <w:p>
      <w:pPr>
        <w:pStyle w:val="Footnote"/>
        <w:spacing w:before="0" w:after="200"/>
        <w:rPr/>
      </w:pPr>
      <w:r>
        <w:rPr>
          <w:rStyle w:val="FootnoteCharacters"/>
        </w:rPr>
        <w:foot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footnote>
  <w:footnote w:id="12">
    <w:p>
      <w:pPr>
        <w:pStyle w:val="Footnote"/>
        <w:spacing w:before="0" w:after="200"/>
        <w:rPr/>
      </w:pPr>
      <w:r>
        <w:rPr>
          <w:rStyle w:val="FootnoteCharacters"/>
        </w:rPr>
        <w:footnoteRef/>
      </w:r>
      <w:r>
        <w:rPr/>
        <w:t xml:space="preserve">  </w:t>
      </w:r>
      <w:r>
        <w:rPr/>
        <w:t xml:space="preserve">solo dice “a esta edición corresponden los textos que se reproducen” (Rodríguez, </w:t>
      </w:r>
      <w:r>
        <w:rPr>
          <w:i/>
          <w:iCs/>
        </w:rPr>
        <w:t>Inventamos o erramos</w:t>
      </w:r>
      <w:r>
        <w:rPr/>
        <w:t xml:space="preserve"> 39)</w:t>
      </w:r>
    </w:p>
  </w:footnote>
  <w:footnote w:id="13">
    <w:p>
      <w:pPr>
        <w:pStyle w:val="Footnote"/>
        <w:spacing w:before="0" w:after="200"/>
        <w:rPr/>
      </w:pPr>
      <w:r>
        <w:rPr>
          <w:rStyle w:val="FootnoteCharacters"/>
        </w:rPr>
        <w:foot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footnote>
  <w:footnote w:id="14">
    <w:p>
      <w:pPr>
        <w:pStyle w:val="Footnote"/>
        <w:spacing w:before="0" w:after="200"/>
        <w:rPr/>
      </w:pPr>
      <w:r>
        <w:rPr>
          <w:rStyle w:val="FootnoteCharacters"/>
        </w:rPr>
        <w:foot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r>
        <w:rPr/>
      </w:r>
    </w:p>
  </w:footnote>
  <w:footnote w:id="15">
    <w:p>
      <w:pPr>
        <w:pStyle w:val="Footnote"/>
        <w:spacing w:before="0" w:after="200"/>
        <w:rPr/>
      </w:pPr>
      <w:r>
        <w:rPr>
          <w:rStyle w:val="FootnoteCharacters"/>
        </w:rPr>
        <w:footnoteRef/>
      </w:r>
      <w:r>
        <w:rPr/>
        <w:t xml:space="preserve">  </w:t>
      </w:r>
      <w:r>
        <w:rPr/>
        <w:t>los enumero</w:t>
      </w:r>
    </w:p>
  </w:footnote>
  <w:footnote w:id="16">
    <w:p>
      <w:pPr>
        <w:pStyle w:val="Footnote"/>
        <w:spacing w:before="0" w:after="200"/>
        <w:rPr/>
      </w:pPr>
      <w:r>
        <w:rPr>
          <w:rStyle w:val="FootnoteCharacters"/>
        </w:rPr>
        <w:footnoteRef/>
      </w:r>
      <w:r>
        <w:rPr/>
        <w:t xml:space="preserve">  </w:t>
      </w:r>
      <w:r>
        <w:rPr/>
        <w:t xml:space="preserve">En “La supuesta influencia de Rousseau en el pensamiento de Simón Rodríguez: la”tesis del Emilio”“, Maximiliano Durán (“La supuesta influencia de Rousseau en el pensamiento de Simón Rodríguez”) expone detalladamente la naturaleza mítica de esta equivalencia </w:t>
      </w:r>
    </w:p>
  </w:footnote>
  <w:footnote w:id="17">
    <w:p>
      <w:pPr>
        <w:pStyle w:val="Footnote"/>
        <w:spacing w:before="0" w:after="200"/>
        <w:rPr/>
      </w:pPr>
      <w:r>
        <w:rPr>
          <w:rStyle w:val="FootnoteCharacters"/>
        </w:rPr>
        <w:footnoteRef/>
      </w:r>
      <w:r>
        <w:rPr/>
        <w:t xml:space="preserve">  “</w:t>
      </w:r>
      <w:r>
        <w:rPr/>
        <w:t>moutons y paissaient une mousse rase émaillée de quelques brins d’herbe”</w:t>
      </w:r>
    </w:p>
  </w:footnote>
  <w:footnote w:id="18">
    <w:p>
      <w:pPr>
        <w:pStyle w:val="Footnote"/>
        <w:spacing w:before="0" w:after="200"/>
        <w:rPr/>
      </w:pPr>
      <w:r>
        <w:rPr>
          <w:rStyle w:val="FootnoteCharacters"/>
        </w:rPr>
        <w:footnoteRef/>
      </w:r>
      <w:r>
        <w:rPr/>
        <w:t xml:space="preserve">  “</w:t>
      </w:r>
      <w:r>
        <w:rPr/>
        <w:t>un ramassis de maisons quelconques situées au pied d’un morne”</w:t>
      </w:r>
    </w:p>
  </w:footnote>
  <w:footnote w:id="19">
    <w:p>
      <w:pPr>
        <w:pStyle w:val="Footnote"/>
        <w:spacing w:before="0" w:after="200"/>
        <w:rPr/>
      </w:pPr>
      <w:r>
        <w:rPr>
          <w:rStyle w:val="FootnoteCharacters"/>
        </w:rPr>
        <w:footnoteRef/>
      </w:r>
      <w:r>
        <w:rPr/>
        <w:t xml:space="preserve">  </w:t>
      </w:r>
      <w:r>
        <w:rPr/>
        <w:t>original</w:t>
      </w:r>
    </w:p>
  </w:footnote>
  <w:footnote w:id="20">
    <w:p>
      <w:pPr>
        <w:pStyle w:val="Footnote"/>
        <w:spacing w:before="0" w:after="200"/>
        <w:rPr/>
      </w:pPr>
      <w:r>
        <w:rPr>
          <w:rStyle w:val="FootnoteCharacters"/>
        </w:rPr>
        <w:foot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footnote>
  <w:footnote w:id="21">
    <w:p>
      <w:pPr>
        <w:pStyle w:val="Footnote"/>
        <w:spacing w:before="0" w:after="200"/>
        <w:rPr/>
      </w:pPr>
      <w:r>
        <w:rPr>
          <w:rStyle w:val="FootnoteCharacters"/>
        </w:rPr>
        <w:foot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footnote>
  <w:footnote w:id="22">
    <w:p>
      <w:pPr>
        <w:pStyle w:val="Footnote"/>
        <w:spacing w:before="0" w:after="200"/>
        <w:rPr/>
      </w:pPr>
      <w:r>
        <w:rPr>
          <w:rStyle w:val="FootnoteCharacters"/>
        </w:rPr>
        <w:footnoteRef/>
      </w:r>
      <w:r>
        <w:rPr/>
        <w:t xml:space="preserve">  </w:t>
      </w:r>
      <w:r>
        <w:rPr/>
        <w:t>mencionar que se sabe que a Rodríguez le gustaba difundir rumores sobre sí mismo, y que Susana Rotker escribió sobre el humor negro de Rodríguez en “La carcajada más seria del siglo XIX”</w:t>
      </w:r>
    </w:p>
  </w:footnote>
  <w:footnote w:id="23">
    <w:p>
      <w:pPr>
        <w:pStyle w:val="Footnote"/>
        <w:spacing w:before="0" w:after="200"/>
        <w:rPr/>
      </w:pPr>
      <w:r>
        <w:rPr>
          <w:rStyle w:val="FootnoteCharacters"/>
        </w:rPr>
        <w:footnoteRef/>
      </w:r>
      <w:r>
        <w:rPr/>
        <w:t xml:space="preserve">  </w:t>
      </w:r>
      <w:r>
        <w:rPr/>
        <w:t>mencionar excepción en Rafael Mondragón</w:t>
      </w:r>
    </w:p>
  </w:footnote>
  <w:footnote w:id="24">
    <w:p>
      <w:pPr>
        <w:pStyle w:val="Footnote"/>
        <w:spacing w:before="0" w:after="200"/>
        <w:rPr/>
      </w:pPr>
      <w:r>
        <w:rPr>
          <w:rStyle w:val="FootnoteCharacters"/>
        </w:rPr>
        <w:footnoteRef/>
      </w:r>
      <w:r>
        <w:rPr/>
        <w:t xml:space="preserve">  </w:t>
      </w:r>
      <w:r>
        <w:rPr/>
        <w:t>traducción</w:t>
      </w:r>
    </w:p>
  </w:footnote>
  <w:footnote w:id="25">
    <w:p>
      <w:pPr>
        <w:pStyle w:val="Footnote"/>
        <w:spacing w:before="0" w:after="200"/>
        <w:rPr/>
      </w:pPr>
      <w:r>
        <w:rPr>
          <w:rStyle w:val="FootnoteCharacters"/>
        </w:rPr>
        <w:foot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footnote>
  <w:footnote w:id="26">
    <w:p>
      <w:pPr>
        <w:pStyle w:val="Footnote"/>
        <w:spacing w:before="0" w:after="200"/>
        <w:rPr/>
      </w:pPr>
      <w:r>
        <w:rPr>
          <w:rStyle w:val="FootnoteCharacters"/>
        </w:rPr>
        <w:footnoteRef/>
      </w:r>
      <w:r>
        <w:rPr/>
        <w:t xml:space="preserve">  </w:t>
      </w:r>
      <w:r>
        <w:rPr/>
        <w:t>algunos ejemplos y referencia a Amunátegui y las cartas</w:t>
      </w:r>
    </w:p>
  </w:footnote>
  <w:footnote w:id="27">
    <w:p>
      <w:pPr>
        <w:pStyle w:val="Footnote"/>
        <w:spacing w:before="0" w:after="200"/>
        <w:rPr/>
      </w:pPr>
      <w:r>
        <w:rPr>
          <w:rStyle w:val="FootnoteCharacters"/>
        </w:rPr>
        <w:footnoteRef/>
      </w:r>
      <w:r>
        <w:rPr/>
        <w:t xml:space="preserve">  </w:t>
      </w:r>
      <w:r>
        <w:rPr/>
        <w:t>trabajaré sobre estas ideas y proyectos en común de Rodríguez con la elite letrada en el próximo capítulo</w:t>
      </w:r>
    </w:p>
  </w:footnote>
  <w:footnote w:id="28">
    <w:p>
      <w:pPr>
        <w:pStyle w:val="Footnote"/>
        <w:spacing w:before="0" w:after="200"/>
        <w:rPr/>
      </w:pPr>
      <w:r>
        <w:rPr>
          <w:rStyle w:val="FootnoteCharacters"/>
        </w:rPr>
        <w:footnoteRef/>
      </w:r>
      <w:r>
        <w:rPr/>
        <w:t xml:space="preserve">  </w:t>
      </w:r>
      <w:r>
        <w:rPr/>
        <w:t>quienes hacen estas analogías</w:t>
      </w:r>
    </w:p>
  </w:footnote>
  <w:footnote w:id="29">
    <w:p>
      <w:pPr>
        <w:pStyle w:val="Footnote"/>
        <w:spacing w:before="0" w:after="200"/>
        <w:rPr/>
      </w:pPr>
      <w:r>
        <w:rPr>
          <w:rStyle w:val="FootnoteCharacters"/>
        </w:rPr>
        <w:footnoteRef/>
      </w:r>
      <w:r>
        <w:rPr/>
        <w:t xml:space="preserve">  </w:t>
      </w:r>
      <w:r>
        <w:rPr/>
        <w:t>ejemplos</w:t>
      </w:r>
    </w:p>
  </w:footnote>
  <w:footnote w:id="30">
    <w:p>
      <w:pPr>
        <w:pStyle w:val="Footnote"/>
        <w:spacing w:before="0" w:after="200"/>
        <w:rPr/>
      </w:pPr>
      <w:r>
        <w:rPr>
          <w:rStyle w:val="FootnoteCharacters"/>
        </w:rPr>
        <w:footnoteRef/>
      </w:r>
      <w:r>
        <w:rPr/>
        <w:t xml:space="preserve">  </w:t>
      </w:r>
      <w:r>
        <w:rPr/>
        <w:t xml:space="preserve">referencia a </w:t>
      </w:r>
      <w:r>
        <w:rPr>
          <w:i/>
          <w:iCs/>
        </w:rPr>
        <w:t>The Impure Imagination</w:t>
      </w:r>
    </w:p>
  </w:footnote>
  <w:footnote w:id="31">
    <w:p>
      <w:pPr>
        <w:pStyle w:val="Footnote"/>
        <w:spacing w:before="0" w:after="200"/>
        <w:rPr/>
      </w:pPr>
      <w:r>
        <w:rPr>
          <w:rStyle w:val="FootnoteCharacters"/>
        </w:rPr>
        <w:footnoteRef/>
      </w:r>
      <w:r>
        <w:rPr/>
        <w:t xml:space="preserve">  </w:t>
      </w:r>
      <w:r>
        <w:rPr/>
        <w:t>referir las acciones que analiza Camnitzer</w:t>
      </w:r>
    </w:p>
  </w:footnote>
  <w:footnote w:id="32">
    <w:p>
      <w:pPr>
        <w:pStyle w:val="Footnote"/>
        <w:spacing w:before="0" w:after="200"/>
        <w:rPr/>
      </w:pPr>
      <w:r>
        <w:rPr>
          <w:rStyle w:val="FootnoteCharacters"/>
        </w:rPr>
        <w:footnoteRef/>
      </w:r>
      <w:r>
        <w:rPr/>
        <w:t xml:space="preserve">  </w:t>
      </w:r>
      <w:r>
        <w:rPr/>
        <w:t>detallaré cómo se articula este horizonte en Rodríguez en el próximo capítulo</w:t>
      </w:r>
    </w:p>
  </w:footnote>
  <w:footnote w:id="33">
    <w:p>
      <w:pPr>
        <w:pStyle w:val="Footnote"/>
        <w:spacing w:before="0" w:after="200"/>
        <w:rPr/>
      </w:pPr>
      <w:r>
        <w:rPr>
          <w:rStyle w:val="FootnoteCharacters"/>
        </w:rPr>
        <w:footnoteRef/>
      </w:r>
      <w:r>
        <w:rPr/>
        <w:t xml:space="preserve">  </w:t>
      </w:r>
      <w:r>
        <w:rPr/>
        <w:t>Caresiani, Rama, Ramos, Sarlo</w:t>
      </w:r>
    </w:p>
  </w:footnote>
  <w:footnote w:id="34">
    <w:p>
      <w:pPr>
        <w:pStyle w:val="Footnote"/>
        <w:spacing w:before="0" w:after="200"/>
        <w:rPr/>
      </w:pPr>
      <w:r>
        <w:rPr>
          <w:rStyle w:val="FootnoteCharacters"/>
        </w:rPr>
        <w:footnoteRef/>
      </w:r>
      <w:r>
        <w:rPr/>
        <w:t xml:space="preserve">  </w:t>
      </w:r>
      <w:r>
        <w:rPr/>
        <w:t>lista de algunos de estos autores</w:t>
      </w:r>
    </w:p>
  </w:footnote>
  <w:footnote w:id="35">
    <w:p>
      <w:pPr>
        <w:pStyle w:val="Footnote"/>
        <w:spacing w:before="0" w:after="200"/>
        <w:rPr/>
      </w:pPr>
      <w:r>
        <w:rPr>
          <w:rStyle w:val="FootnoteCharacters"/>
        </w:rPr>
        <w:footnoteRef/>
      </w:r>
      <w:r>
        <w:rPr/>
        <w:t xml:space="preserve">  </w:t>
      </w:r>
      <w:r>
        <w:rPr/>
        <w:t>cuándo lo haré; creo que en el tercer y cuarto capítulo</w:t>
      </w:r>
    </w:p>
  </w:footnote>
  <w:footnote w:id="36">
    <w:p>
      <w:pPr>
        <w:pStyle w:val="Footnote"/>
        <w:spacing w:before="0" w:after="200"/>
        <w:rPr/>
      </w:pPr>
      <w:r>
        <w:rPr>
          <w:rStyle w:val="FootnoteCharacters"/>
        </w:rPr>
        <w:footnoteRef/>
      </w:r>
      <w:r>
        <w:rPr/>
        <w:t xml:space="preserve">  </w:t>
      </w:r>
      <w:r>
        <w:rPr/>
        <w:t>referencia a Berman, Ramos, Eagleton, Husseyn, Calinescu</w:t>
      </w:r>
    </w:p>
  </w:footnote>
  <w:footnote w:id="37">
    <w:p>
      <w:pPr>
        <w:pStyle w:val="Footnote"/>
        <w:spacing w:before="0" w:after="200"/>
        <w:rPr/>
      </w:pPr>
      <w:r>
        <w:rPr>
          <w:rStyle w:val="FootnoteCharacters"/>
        </w:rPr>
        <w:footnoteRef/>
      </w:r>
      <w:r>
        <w:rPr/>
        <w:t xml:space="preserve">  </w:t>
      </w:r>
      <w:r>
        <w:rPr/>
        <w:t>aclaración de que tengo presente a lo que desarrolló Heidegger a partir de esta homología pero que todavía no me voy a meter con eso</w:t>
      </w:r>
    </w:p>
  </w:footnote>
  <w:footnote w:id="38">
    <w:p>
      <w:pPr>
        <w:pStyle w:val="Footnote"/>
        <w:spacing w:before="0" w:after="200"/>
        <w:rPr/>
      </w:pPr>
      <w:r>
        <w:rPr>
          <w:rStyle w:val="FootnoteCharacters"/>
        </w:rPr>
        <w:footnoteRef/>
      </w:r>
      <w:r>
        <w:rPr/>
        <w:t xml:space="preserve">  </w:t>
      </w:r>
      <w:r>
        <w:rPr/>
        <w:t xml:space="preserve">de la introducción a </w:t>
      </w:r>
      <w:r>
        <w:rPr>
          <w:i/>
          <w:iCs/>
        </w:rPr>
        <w:t>Luces</w:t>
      </w:r>
      <w:r>
        <w:rPr/>
        <w:t>, sobre la evidencia de que los compradores de lo que Rodríguez publicaba eran fundamentalmente gobernantes</w:t>
      </w:r>
    </w:p>
  </w:footnote>
  <w:footnote w:id="39">
    <w:p>
      <w:pPr>
        <w:pStyle w:val="Footnote"/>
        <w:spacing w:before="0" w:after="200"/>
        <w:rPr/>
      </w:pPr>
      <w:r>
        <w:rPr>
          <w:rStyle w:val="FootnoteCharacters"/>
        </w:rPr>
        <w:footnoteRef/>
      </w:r>
      <w:r>
        <w:rPr/>
        <w:t xml:space="preserve">  </w:t>
      </w:r>
      <w:r>
        <w:rPr/>
        <w:t>también el muralismo mexicano y otras experiencias de la periferia romperían con esa norma, gracias a Tatiana Rojas por esta observación</w:t>
      </w:r>
    </w:p>
  </w:footnote>
  <w:footnote w:id="40">
    <w:p>
      <w:pPr>
        <w:pStyle w:val="Footnote"/>
        <w:spacing w:before="0" w:after="200"/>
        <w:rPr/>
      </w:pPr>
      <w:r>
        <w:rPr>
          <w:rStyle w:val="FootnoteCharacters"/>
        </w:rPr>
        <w:footnoteRef/>
      </w:r>
      <w:r>
        <w:rPr/>
        <w:t xml:space="preserve">  </w:t>
      </w:r>
      <w:r>
        <w:rPr/>
        <w:t>ver también Arnold Hauser</w:t>
      </w:r>
    </w:p>
  </w:footnote>
  <w:footnote w:id="41">
    <w:p>
      <w:pPr>
        <w:pStyle w:val="Footnote"/>
        <w:spacing w:before="0" w:after="200"/>
        <w:rPr/>
      </w:pPr>
      <w:r>
        <w:rPr>
          <w:rStyle w:val="FootnoteCharacters"/>
        </w:rPr>
        <w:footnoteRef/>
      </w:r>
      <w:r>
        <w:rPr/>
        <w:t xml:space="preserve">  </w:t>
      </w:r>
      <w:r>
        <w:rPr/>
        <w:t>cuáles</w:t>
      </w:r>
    </w:p>
  </w:footnote>
  <w:footnote w:id="42">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Liberation Serif" w:hAnsi="Liberation Serif"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Liberation Serif" w:hAnsi="Liberation Serif" w:eastAsia="" w:cs="" w:cstheme="majorBidi" w:eastAsiaTheme="majorEastAsia"/>
      <w:b w:val="false"/>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lineRule="auto" w:line="480" w:before="180" w:after="180"/>
      <w:ind w:left="0" w:right="0" w:firstLine="283"/>
    </w:pPr>
    <w:rPr>
      <w:rFonts w:ascii="Liberation Serif" w:hAnsi="Liberation Serif"/>
      <w:lang w:val="es-A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spacing w:lineRule="auto" w:line="480"/>
      <w:ind w:left="0" w:right="0" w:firstLine="283"/>
    </w:pPr>
    <w:rPr>
      <w:rFonts w:ascii="Liberation Serif" w:hAnsi="Liberation Serif"/>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erif" w:hAnsi="Liberation Serif" w:eastAsia="" w:cs="" w:cstheme="majorBidi" w:eastAsiaTheme="majorEastAsia"/>
      <w:b/>
      <w:bCs/>
      <w:color w:val="000000"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283" w:right="283" w:hanging="0"/>
    </w:pPr>
    <w:rPr/>
  </w:style>
  <w:style w:type="paragraph" w:styleId="Footnote">
    <w:name w:val="Footnote Text"/>
    <w:basedOn w:val="Normal"/>
    <w:uiPriority w:val="9"/>
    <w:unhideWhenUsed/>
    <w:qFormat/>
    <w:pPr/>
    <w:rPr>
      <w:rFonts w:ascii="Liberation Serif" w:hAnsi="Liberation Serif"/>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Addressee">
    <w:name w:val="Envelope Address"/>
    <w:basedOn w:val="Normal"/>
    <w:pPr>
      <w:suppressLineNumbers/>
      <w:spacing w:lineRule="auto" w:line="480" w:before="0" w:after="60"/>
    </w:pPr>
    <w:rPr>
      <w:rFonts w:ascii="Liberation Serif" w:hAnsi="Liberation Serif"/>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s://gallica.bnf.fr/ark:/12148/bpt6k344072" TargetMode="External"/><Relationship Id="rId12" Type="http://schemas.openxmlformats.org/officeDocument/2006/relationships/hyperlink" Target="http://www.jstor.org/stable/44078706" TargetMode="External"/><Relationship Id="rId13" Type="http://schemas.openxmlformats.org/officeDocument/2006/relationships/hyperlink" Target="https://www.rae.es/dpd/exot&#233;rica" TargetMode="External"/><Relationship Id="rId14" Type="http://schemas.openxmlformats.org/officeDocument/2006/relationships/hyperlink" Target="https://bibliofep.fundacionempresaspolar.org/dhv/entradas/r/rodriguez-simon/" TargetMode="External"/><Relationship Id="rId15" Type="http://schemas.openxmlformats.org/officeDocument/2006/relationships/hyperlink" Target="http://link.gale.com/apps/doc/A18579177/EAIM?u=nd_ref&amp;sid=zotero&amp;xid=ddea8d51" TargetMode="External"/><Relationship Id="rId16" Type="http://schemas.openxmlformats.org/officeDocument/2006/relationships/hyperlink" Target="https://www.gutenberg.org/files/5427/5427-h/5427-h.htm" TargetMode="External"/><Relationship Id="rId17" Type="http://schemas.openxmlformats.org/officeDocument/2006/relationships/hyperlink" Target="http://core.cambeiro.com.ar/0-170082-1.pdf" TargetMode="External"/><Relationship Id="rId18" Type="http://schemas.openxmlformats.org/officeDocument/2006/relationships/hyperlink" Target="http://catdir.loc.gov/catdir/enhancements/fy0703/91052981-s.html" TargetMode="External"/><Relationship Id="rId19" Type="http://schemas.openxmlformats.org/officeDocument/2006/relationships/hyperlink" Target="https://www.lancaster.ac.uk/users/philosophy/texts/mill_on.htm" TargetMode="External"/><Relationship Id="rId20" Type="http://schemas.openxmlformats.org/officeDocument/2006/relationships/hyperlink" Target="http://www.jstor.org/stable/3251480" TargetMode="External"/><Relationship Id="rId21" Type="http://schemas.openxmlformats.org/officeDocument/2006/relationships/hyperlink" Target="https://babel.hathitrust.org/cgi/pt?id=nyp.33433000048565&amp;view=1up&amp;seq=7&amp;skin=2021" TargetMode="External"/><Relationship Id="rId22" Type="http://schemas.openxmlformats.org/officeDocument/2006/relationships/hyperlink" Target="https://www.marxists.org/reference/archive/wollstonecraft-mary/1792/vindication-rights-woman/ch05.htm" TargetMode="External"/><Relationship Id="rId23" Type="http://schemas.openxmlformats.org/officeDocument/2006/relationships/footnotes" Target="footnotes.xml"/><Relationship Id="rId24" Type="http://schemas.openxmlformats.org/officeDocument/2006/relationships/comments" Target="comment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Application>LibreOffice/7.4.6.2$Linux_X86_64 LibreOffice_project/40$Build-2</Application>
  <AppVersion>15.0000</AppVersion>
  <Pages>69</Pages>
  <Words>20411</Words>
  <Characters>108490</Characters>
  <CharactersWithSpaces>128694</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2023-03-11T23:59:55Z</dcterms:created>
  <dc:creator/>
  <dc:description/>
  <dc:language>en-GB</dc:language>
  <cp:lastModifiedBy/>
  <dcterms:modified xsi:type="dcterms:W3CDTF">2023-06-28T10:17:11Z</dcterms:modified>
  <cp:revision>82</cp:revision>
  <dc:subject/>
  <dc:title>0-Ch_1-_Orinales_fuera_de_sus_casillas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