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Arte de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corresponde con la afectación propia de la circunstancia en el evento, hasta que llega la comida, que está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Maestro</w:t>
      </w:r>
      <w:r>
        <w:rPr/>
        <w:t>)–, afirma también que el mismo Rodríguez contribuyó a propagarlo (pp).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 (pp)</w:t>
      </w:r>
    </w:p>
    <w:p>
      <w:pPr>
        <w:pStyle w:val="FirstParagraph"/>
        <w:rPr/>
      </w:pPr>
      <w:r>
        <w:rPr/>
        <w:t>Probablemente no exista una expresión más precisa para definir la obra de Rodríguez como decir que saca de las casillas o que se sale de las casillas. No solo los chismes y testimonios de terceros como el del “banquete” sino también su obra impresa ha sido, de distintas maneras, a lo largo del tiempo, difícil de encasillar. Especialmente, difícil de encasillar en los sentidos y valores asignados por la maquinaria ideológica del Estado a la post-guerra de Independencia. A partir de esta irregularidad, Simón Rodríguez ha sido identificado por dos obras clásicas de la histogiografía cultural latinoamericana como un “anomal”</w:t>
      </w:r>
      <w:r>
        <w:rPr>
          <w:rStyle w:val="FootnoteAnchor"/>
        </w:rPr>
        <w:footnoteReference w:id="3"/>
      </w:r>
      <w:r>
        <w:rPr/>
        <w:t>: una figura límite, que los autores emplean como un contra-modelo, a partir del cual elaboran las pautas críticas para analizar el conjunto, no solo del período, sino de la tradición latinoamericana.</w:t>
      </w:r>
    </w:p>
    <w:p>
      <w:pPr>
        <w:pStyle w:val="TextBody"/>
        <w:rPr/>
      </w:pPr>
      <w:r>
        <w:rPr/>
        <w:t xml:space="preserve">Me refiero a </w:t>
      </w:r>
      <w:r>
        <w:rPr>
          <w:i/>
          <w:iCs/>
        </w:rPr>
        <w:t>La expresión Americana</w:t>
      </w:r>
      <w:r>
        <w:rPr/>
        <w:t xml:space="preserve">, de José Lezama Lima, y </w:t>
      </w:r>
      <w:r>
        <w:rPr>
          <w:i/>
          <w:iCs/>
        </w:rPr>
        <w:t>La ciudad letrada</w:t>
      </w:r>
      <w:r>
        <w:rPr/>
        <w:t xml:space="preserve">, de Ángel Rama. En la primera, como indican Ulloa y Ulloa, la “última decisión de Rodriguez de pasar sus últimos años en el centro de la cultura inca es crucial para el entendimiento del diseño lezamalimeno de la expresión america” (pp). Y en </w:t>
      </w:r>
      <w:r>
        <w:rPr>
          <w:i/>
          <w:iCs/>
        </w:rPr>
        <w:t>La ciudad</w:t>
      </w:r>
      <w:r>
        <w:rPr/>
        <w:t xml:space="preserve">, Rama toma la obra de Rodríguez como modelo e inspiración “para su análisis de la formación del estamento letrado americano, la denuncia de su carácter reaccionario y la crítica de su monopolio de la narración y la representación” (Rawicz y Mondragón pp). En una obra más reciente, </w:t>
      </w:r>
      <w:r>
        <w:rPr>
          <w:i/>
          <w:iCs/>
        </w:rPr>
        <w:t>Conceptualism in Latin American Art: Didatics of Liberation</w:t>
      </w:r>
      <w:r>
        <w:rPr/>
        <w:t>, el artista uruguayo Luis Camnitzer define a Rodríguez en el curioso lugar de fundador de la tradición de conceptualismo artístico latinoamericano. Buscando un marco referencial “propio”, Camnitzer (</w:t>
      </w:r>
      <w:r>
        <w:rPr>
          <w:i/>
          <w:iCs/>
        </w:rPr>
        <w:t>Conceptualism</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w:t>
      </w:r>
    </w:p>
    <w:p>
      <w:pPr>
        <w:pStyle w:val="TextBody"/>
        <w:rPr/>
      </w:pPr>
      <w:r>
        <w:rPr/>
        <w:t>A partir de ese heterodoxo modelo de análisis, Camnitzer (</w:t>
      </w:r>
      <w:r>
        <w:rPr>
          <w:i/>
          <w:iCs/>
        </w:rPr>
        <w:t>Conceptualism</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sería la </w:t>
      </w:r>
      <w:r>
        <w:rPr>
          <w:i/>
          <w:iCs/>
        </w:rPr>
        <w:t>Fuente</w:t>
      </w:r>
      <w:r>
        <w:rPr/>
        <w:t xml:space="preserve"> Duchamp, y cuyo paroxismo sería </w:t>
      </w:r>
      <w:r>
        <w:rPr>
          <w:i/>
          <w:iCs/>
        </w:rPr>
        <w:t>La mierda del artista</w:t>
      </w:r>
      <w:r>
        <w:rPr/>
        <w:t xml:space="preserve"> de Piero Mazzoni (Camnitzer, </w:t>
      </w:r>
      <w:r>
        <w:rPr>
          <w:i/>
          <w:iCs/>
        </w:rPr>
        <w:t>Volando</w:t>
      </w:r>
      <w:r>
        <w:rPr/>
        <w:t xml:space="preserve"> pp). Claro que la serie de Camnitzer no obedece ni pretende obedecer a un análisis metodológicamente riguroso, ni tampoco a una lectura sistemática del pensamiento de Rodríguez. Él mismo define su enfoque, a partir de uno de sus críticos, como “revisionism at its worst” (Camnitzer, </w:t>
      </w:r>
      <w:r>
        <w:rPr>
          <w:i/>
          <w:iCs/>
        </w:rPr>
        <w:t>Conceptualism</w:t>
      </w:r>
      <w:r>
        <w:rPr/>
        <w:t xml:space="preserve"> pp)</w:t>
      </w:r>
      <w:r>
        <w:rPr>
          <w:rStyle w:val="FootnoteAnchor"/>
        </w:rPr>
        <w:footnoteReference w:id="4"/>
      </w:r>
      <w:r>
        <w:rPr/>
        <w:t>. Sin embargo, la provocación que supone esta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hegemónica del arte y la literatura modernas.</w:t>
      </w:r>
    </w:p>
    <w:p>
      <w:pPr>
        <w:pStyle w:val="BlockText"/>
        <w:rPr/>
      </w:pPr>
      <w:r>
        <w:rPr/>
        <w:t>[figura: comparativa de Rodríguez con los hitos de experimentación plástica con textos impresos en el modernismo global, indicando el lugar y la fecha de cada una de las piezas]</w:t>
      </w:r>
    </w:p>
    <w:p>
      <w:pPr>
        <w:pStyle w:val="FirstParagraph"/>
        <w:rPr/>
      </w:pPr>
      <w:r>
        <w:rPr/>
        <w:t xml:space="preserve">La potencia discrónica que aparece a primera vista se concreta en lo que Rodríguez llamó a.p.p. (a.p.p.): la técnica para variar, distribuir y organizar los tipos móviles y llaves sobre las planchas de imprimir que postuló como una manera de “pintar los pensamientos”. Esta técnica produce una obra que en su composición material se asemeja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Y esta técnica, que “el reformador enseñaba a pintar en la escritura”, es la que Lastarria emparenta con el “énfasis i aquellas entonaciones elegantes” en la narración que le hace a Bello del “banquete” de La Paz. Es decir, así como la técnica del Rodríguez escritor descoyunta los engranajes de la progresión homogénea y lineal de la modernidad artística y literaria, hay potencias en la técnica del Rodríguez narrador</w:t>
      </w:r>
      <w:r>
        <w:rPr>
          <w:rStyle w:val="FootnoteAnchor"/>
        </w:rPr>
        <w:footnoteReference w:id="5"/>
      </w:r>
      <w:r>
        <w:rPr/>
        <w:t xml:space="preserve"> que saca de sus casillas la historia política y militar hegemónica de América Latina.</w:t>
      </w:r>
    </w:p>
    <w:p>
      <w:pPr>
        <w:pStyle w:val="TextBody"/>
        <w:rPr/>
      </w:pPr>
      <w:r>
        <w:rPr/>
        <w:commentReference w:id="0"/>
      </w:r>
      <w:r>
        <w:rP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y mecanismos amplificadores de íconos del </w:t>
      </w:r>
      <w:r>
        <w:rPr>
          <w:i/>
          <w:iCs/>
        </w:rPr>
        <w:t>statu quo</w:t>
      </w:r>
      <w:r>
        <w:rPr/>
        <w:t>. Analizo cómo en el registro de los chismes que ascienden a la historia oficial, las potencias desencasillantes del Rodríguez narrador y del Rodríguez escritor se combinan para infiltrarse en la maquinaria ideológica del Estado, y subrayar e incluso exagerar las discontinuidades que esta trata de anular.</w:t>
      </w:r>
    </w:p>
    <w:p>
      <w:pPr>
        <w:pStyle w:val="TextBody"/>
        <w:rPr/>
      </w:pPr>
      <w:r>
        <w:rPr/>
        <w:t xml:space="preserve">Hago esta exploración atento al impacto que el efecto discrónico de la obra de Rodríguez ha tenido en la lectura crítica. Como señala Camila Pulgar Machado, esta ha estado tradicionalmente atravesada por una mirada que opaca su relación con las condiciones de posibilidad histórica que le dieron lugar como acontecimiento (pp). Por otro lado, como sugiere Javier Lasarte Valcárcel, la homología directa entre el a.p.p. de Rodríguez y los hitos de experimentación tipográfica de las “vanguardias históricas” puede favorecer una interpretación unívocamente contracultural de su obra, que tiende a leerla aislada de la voluntad de poder que la motoriza (pp). Por eso en la segunda parte del capítulo contrasto las potencias </w:t>
      </w:r>
      <w:r>
        <w:rPr>
          <w:shd w:fill="FFFF00" w:val="clear"/>
        </w:rPr>
        <w:t>desencasillantes</w:t>
      </w:r>
      <w:r>
        <w:rPr/>
        <w:t xml:space="preserve"> en la obra de Rodríguez con algunas tentativas críticas que –recurrentemente– la han encasillado en condiciones de posibilidad ajenas a las suyas para normalizarla. Y a partir de estas observaciones, relaciono dispositivos rodriguanos que han sifo identificados como “vanguardistas” con la discusión impresa e intelectual de vanguardia de la que fue contemporáneo, tanto en Hispanoamérica como en los centros culturales europeos.</w:t>
      </w:r>
    </w:p>
    <w:p>
      <w:pPr>
        <w:pStyle w:val="TextBody"/>
        <w:rPr/>
      </w:pPr>
      <w:r>
        <w:rPr/>
        <w:t>En este diálogo tengo presentes contribuciones del siglo XXI, como las de Ronald Briggs, y los mismos Lasarte Valcárcel y Camnitzer (</w:t>
      </w:r>
      <w:r>
        <w:rPr>
          <w:i/>
          <w:iCs/>
        </w:rPr>
        <w:t>Conceptualism</w:t>
      </w:r>
      <w:r>
        <w:rPr/>
        <w:t xml:space="preserve">), que ofrecen claves para detectar la proximidad de Rodríguez, tanto al </w:t>
      </w:r>
      <w:r>
        <w:rPr>
          <w:i/>
          <w:iCs/>
        </w:rPr>
        <w:t>ethos</w:t>
      </w:r>
      <w:r>
        <w:rPr/>
        <w:t xml:space="preserve"> 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p>
      <w:pPr>
        <w:pStyle w:val="Heading2"/>
        <w:rPr/>
      </w:pPr>
      <w:bookmarkStart w:id="0" w:name="Xe854bdbd5f6928931c19c500bb12e362e254020"/>
      <w:r>
        <w:rPr/>
        <w:t>1. Un torrente “loco” entre la máscara heroica</w:t>
      </w:r>
    </w:p>
    <w:p>
      <w:pPr>
        <w:pStyle w:val="Heading3"/>
        <w:rPr/>
      </w:pPr>
      <w:bookmarkStart w:id="1" w:name="carta-de-presentación"/>
      <w:r>
        <w:rPr/>
        <w:t>Carta de presentación</w:t>
      </w:r>
    </w:p>
    <w:p>
      <w:pPr>
        <w:pStyle w:val="FirstParagraph"/>
        <w:rPr/>
      </w:pPr>
      <w:r>
        <w:rPr/>
        <w:t xml:space="preserve">Aunque empleó recurrentemente la palabra “ARTE” 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 </w:t>
      </w:r>
      <w:r>
        <w:rPr>
          <w:rStyle w:val="FootnoteAnchor"/>
        </w:rPr>
        <w:footnoteReference w:id="6"/>
      </w:r>
      <w:r>
        <w:rPr/>
        <w:t xml:space="preserve">, también albacea y </w:t>
      </w:r>
      <w:r>
        <w:rPr>
          <w:i/>
          <w:iCs/>
        </w:rPr>
        <w:t>coach</w:t>
      </w:r>
      <w:r>
        <w:rPr/>
        <w:t xml:space="preserve"> motivacional.</w:t>
      </w:r>
      <w:r>
        <w:rPr/>
        <w:commentReference w:id="1"/>
      </w:r>
    </w:p>
    <w:p>
      <w:pPr>
        <w:pStyle w:val="TextBody"/>
        <w:rPr/>
      </w:pPr>
      <w:r>
        <w:rPr/>
        <w:t>El documento es una carta de Bolívar a su prima y amante Fanny de Villars. Tras enviudar en Venezuela prematuramente –a los 21 años–, Bolívar se fue a Europa a vivir lo que en la carta se describe como un “estado de consunción” en el que morir “era lo que yo deseaba”. En 1805,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hasta más allá de Roma (Lozano y Lozano 55-59)</w:t>
      </w:r>
    </w:p>
    <w:p>
      <w:pPr>
        <w:pStyle w:val="TextBody"/>
        <w:rPr/>
      </w:pPr>
      <w:r>
        <w:rPr/>
        <w:t>El impacto de este viaje de la futura celebridad militar</w:t>
      </w:r>
      <w:r>
        <w:rPr>
          <w:rStyle w:val="FootnoteAnchor"/>
        </w:rPr>
        <w:footnoteReference w:id="7"/>
      </w:r>
      <w:r>
        <w:rPr/>
        <w:t xml:space="preserve">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proceso –figurado, desde luego, porque entre 1810 y 182</w:t>
      </w:r>
      <w:r>
        <w:rPr>
          <w:shd w:fill="FF0000" w:val="clear"/>
        </w:rPr>
        <w:t>4</w:t>
      </w:r>
      <w:r>
        <w:rPr/>
        <w:t xml:space="preserve"> Rodríguez ni siquiera estaba en América–, y en medio de paroxismos de entusiasmo y devoción que detallaré más adelante, le recuerda el “Juramento” que hicieron juntos en Roma en 1805, mientras emplea al menos cinco figuras retóricas diferentes para implorarle que fuera a unirse a él en Perú</w:t>
      </w:r>
      <w:r>
        <w:rPr>
          <w:rStyle w:val="FootnoteAnchor"/>
        </w:rPr>
        <w:footnoteReference w:id="8"/>
      </w:r>
      <w:r>
        <w:rPr/>
        <w:t xml:space="preserve">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9"/>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afirmando su compromiso sacrificial por la patria los puede tener. Pero que con todos esos ingredientes también dio entrada en la historia a un testigo que resultaría tan incómodo como necesario para la construcción de esa escena </w:t>
      </w:r>
      <w:r>
        <w:rPr>
          <w:rStyle w:val="FootnoteAnchor"/>
        </w:rPr>
        <w:footnoteReference w:id="10"/>
      </w:r>
      <w:r>
        <w:rPr/>
        <w:t>.</w:t>
      </w:r>
    </w:p>
    <w:p>
      <w:pPr>
        <w:pStyle w:val="TextBody"/>
        <w:rPr/>
      </w:pPr>
      <w:r>
        <w:rPr/>
        <w:t>El carácter incómodo del testigo se empieza a gestar también en la carta de Bolívar de 1824. Con la misma euforia que le imploró que fuera a unirse a él, Bolívar lo recibió en Cuzco, e instantáneamente lo incorporó en su primer círculo de seguridad y confianza. Estuvieron juntos en el trayecto hasta el Alto Perú. Como detallo en el próximo capítulo, ahí Bolívar expidió una serie de decretos y tomo una serie de medidas para la distribución de bienes y recursos, y para la secularización de la vida pública, cuya autoría intelectual correponde a Rodríguez, según varios biógrafos e historiadores. Ya en el Alto Perú le siguió otra serie de decretos, hechos a la medida de las reformas –¿o revolución?– que iba a impulsar Rodríguez en la recién fundada república de Bolivia bajo la singular combinación de atribuciones que se le asignaron: “Minas, Agricultura, Caminos, y Enseñanza de Física, Química y Matemáticas”</w:t>
      </w:r>
      <w:r>
        <w:rPr>
          <w:rStyle w:val="FootnoteAnchor"/>
        </w:rPr>
        <w:footnoteReference w:id="11"/>
      </w:r>
      <w:r>
        <w:rPr/>
        <w:t>.</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12"/>
      </w:r>
      <w:r>
        <w:rPr/>
        <w:t>.</w:t>
      </w:r>
    </w:p>
    <w:p>
      <w:pPr>
        <w:pStyle w:val="TextBody"/>
        <w:rPr/>
      </w:pPr>
      <w:r>
        <w:rPr/>
        <w:t xml:space="preserve">También el original de la carta, que conservó toda su vida –y que se encuentra en la Universidad de Indiana en Bloomingon–, puede haberle servido como documento de presentación ante las autoridades de los países y ciudades andinos donde hizo vida e imprimió después de la experiencia en Bolivia. No existen pruebas de que Rodríguez haya usado la carta como documento de presentación, pero sí se sabe que escribió en el anverso del original una aclaratoria que pone en perspectiva o relativiza la relación jerárquica implícita en una carta que se conserva de una alta autoridad y celebridad: “[n]o conservo esta carta por el honor que me hace, sino por el que hace a Bolívar. Confesar que me debía unas ideas que lo distinguían tanto, era probar que nada perdía en que lo supieran porque su orgullo era el amor a la justicia” (Rodríguez, </w:t>
      </w:r>
      <w:r>
        <w:rPr>
          <w:i/>
          <w:iCs/>
        </w:rPr>
        <w:t>Cartas</w:t>
      </w:r>
      <w:r>
        <w:rPr/>
        <w:t xml:space="preserve"> 18).</w:t>
      </w:r>
    </w:p>
    <w:p>
      <w:pPr>
        <w:pStyle w:val="BlockText"/>
        <w:rPr/>
      </w:pPr>
      <w:r>
        <w:rPr/>
        <w:t>[figura: reproducción de la nota de Rodríguez]</w:t>
      </w:r>
    </w:p>
    <w:p>
      <w:pPr>
        <w:pStyle w:val="FirstParagraph"/>
        <w:rPr/>
      </w:pPr>
      <w:r>
        <w:rPr/>
        <w:t xml:space="preserve">Esta relativización de la jerarquía entre Rodríguez y Bolívar se verifica en la obra del primero que ha sido objeto de más evocaciones iconográficas, y más repeticiones mecánicas, no solo en textos impresos y radioeléctricos, sino también en situaciones protocolares, escolares, proselitistas y turísticas durante casi siglo y medio. Me refiero al texto del “Juramento” –“no daré descanso a mi brazo ni reposo a mi alma”, etcétera–, que, como nos recuerda </w:t>
      </w:r>
      <w:r>
        <w:rPr>
          <w:shd w:fill="FF0000" w:val="clear"/>
        </w:rPr>
        <w:t>Susana</w:t>
      </w:r>
      <w:r>
        <w:rPr/>
        <w:t xml:space="preserve"> Susana Rotker, no es un discurso de Bolívar, sino lo que en 1884 publicó Uribe Ángel, que le dijo Rodríguez en 1850, que se lo escuchó a Bolívar en 1805 (pp). Como veremos, el “Juramento” que se le atribuye a Bolívar es en realidad la transcripción de una narración de Rodríguez, impresa en la crónica de por Manuel Uribe Ángel “El Libertador, su ayo y su Capellán”. De hecho, un fragmento de la narración del “Juramento” mayor al usualmente atribuído a Bolívar se incluye en las </w:t>
      </w:r>
      <w:r>
        <w:rPr>
          <w:i/>
          <w:iCs/>
        </w:rPr>
        <w:t>Obras completas</w:t>
      </w:r>
      <w:r>
        <w:rPr/>
        <w:t xml:space="preserve"> de Simón Rodríguez.</w:t>
      </w:r>
    </w:p>
    <w:p>
      <w:pPr>
        <w:pStyle w:val="TextBody"/>
        <w:rPr/>
      </w:pPr>
      <w:bookmarkStart w:id="2"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(pp). Es decir, el discurso auto-providencial y sacrificial del “Juramento” pertenece en estricto sentido a la misma serie que el “banquete” en que le sirvieron al Gran Mariscal de Ayacucho y su “estado mayor” la comida en “orinales de loza nuevos”: la serie de los relatos introducidos a la historia oficial por narraciones de Simón Rodríguez. Por eso en esta sección trazo la tensión que se gestó entre el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como creador de la escena del “Juramento”.</w:t>
      </w:r>
      <w:bookmarkEnd w:id="2"/>
    </w:p>
    <w:p>
      <w:pPr>
        <w:pStyle w:val="Heading3"/>
        <w:rPr/>
      </w:pPr>
      <w:bookmarkStart w:id="3"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 xml:space="preserve">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algunos de los mecanismos mediante los cuales se trató de borrar la huella de Rodríguez que quedó impresa en esa escena, </w:t>
      </w:r>
      <w:r>
        <w:rPr>
          <w:shd w:fill="FFFF00" w:val="clear"/>
        </w:rPr>
        <w:t>mientras su figura entraba a la circulación literaria adherida a ella</w:t>
      </w:r>
      <w:r>
        <w:rPr/>
        <w:t>.</w:t>
      </w:r>
      <w:r>
        <w:rPr/>
        <w:commentReference w:id="2"/>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 xml:space="preserve">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w:t>
      </w:r>
      <w:r>
        <w:rPr>
          <w:shd w:fill="FF0000" w:val="clear"/>
        </w:rPr>
        <w:t>Rumazo González (</w:t>
      </w:r>
      <w:r>
        <w:rPr>
          <w:i/>
          <w:iCs/>
          <w:shd w:fill="FF0000" w:val="clear"/>
        </w:rPr>
        <w:t>Maestro</w:t>
      </w:r>
      <w:r>
        <w:rPr>
          <w:shd w:fill="FF0000" w:val="clea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13"/>
      </w:r>
      <w:r>
        <w:rPr/>
        <w:t>. Aún en la misma publicación que imprimió el testimonio de Uribe Ángel y el discurso apócrifo del “Juramento” hay al menos una decena de escritos líricos de distintos autores que lo evocan</w:t>
      </w:r>
      <w:r>
        <w:rPr>
          <w:rStyle w:val="FootnoteAnchor"/>
        </w:rPr>
        <w:footnoteReference w:id="14"/>
      </w:r>
      <w:r>
        <w:rPr/>
        <w:t>.</w:t>
      </w:r>
    </w:p>
    <w:p>
      <w:pPr>
        <w:pStyle w:val="TextBody"/>
        <w:rPr/>
      </w:pPr>
      <w:r>
        <w:rPr/>
        <w:t>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w:t>
      </w:r>
      <w:r>
        <w:rPr/>
        <w:commentReference w:id="3"/>
      </w:r>
      <w:r>
        <w:rPr/>
        <w:t xml:space="preserve">.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w:t>
      </w:r>
    </w:p>
    <w:p>
      <w:pPr>
        <w:pStyle w:val="BlockText"/>
        <w:rPr/>
      </w:pPr>
      <w:r>
        <w:rPr/>
        <w:t>[figura: fotografía de archivo público de la obra de 1910 y fotografía de archivo propio de la obra de 1950]</w:t>
      </w:r>
    </w:p>
    <w:p>
      <w:pPr>
        <w:pStyle w:val="FirstParagraph"/>
        <w:rPr/>
      </w:pPr>
      <w:r>
        <w:rPr/>
        <w:t xml:space="preserve">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w:t>
      </w:r>
      <w:r>
        <w:rPr>
          <w:shd w:fill="FFFF00" w:val="clear"/>
        </w:rPr>
        <w:t xml:space="preserve">La versión de 1950 muestra </w:t>
      </w:r>
      <w:r>
        <w:rPr/>
        <w:t>a Rodríguez acostado y reposando sobre su mano derecha. El Libertador nuevamente señala a un lugar indeterminado, con su brazo izquierdo por encima de la cabeza de Rodríguez. La posición de éste ya no es reverencial y solemne sino desenfadada y reflexiva. Y su rostro, antes escondido, ahora se muestra y su mirada apunta</w:t>
      </w:r>
      <w:r>
        <w:rPr>
          <w:shd w:fill="FFFF00" w:val="clear"/>
        </w:rPr>
        <w:t xml:space="preserve"> a un lugar distinto adonde se encuentra Bolívar</w:t>
      </w:r>
      <w:r>
        <w:rPr/>
        <w:t>.</w:t>
      </w:r>
    </w:p>
    <w:p>
      <w:pPr>
        <w:pStyle w:val="TextBody"/>
        <w:rPr/>
      </w:pPr>
      <w:r>
        <w:rPr/>
        <w:t xml:space="preserve">Como veremos, el énfasis que hacen las iconografías de 1910 y 1950 en colocar a Bolívar por encima de Rodríguez en el eje “Y” es la primera voluntad visible de contención, sostenida en el tiempo, contra las potencias desestabilizadoras de </w:t>
      </w:r>
      <w:r>
        <w:rPr>
          <w:shd w:fill="FFFF00" w:val="clear"/>
        </w:rPr>
        <w:t>su</w:t>
      </w:r>
      <w:r>
        <w:rPr/>
        <w:t xml:space="preserve"> narración. Pero también los rasgos que varían </w:t>
      </w:r>
      <w:r>
        <w:rPr>
          <w:shd w:fill="FFFF00" w:val="clear"/>
        </w:rPr>
        <w:t xml:space="preserve">de una a otra </w:t>
      </w:r>
      <w:r>
        <w:rPr/>
        <w:t xml:space="preserve">permiten reconocer cómo </w:t>
      </w:r>
      <w:r>
        <w:rPr>
          <w:shd w:fill="FFFF00" w:val="clear"/>
        </w:rPr>
        <w:t>su obra y su figura</w:t>
      </w:r>
      <w:r>
        <w:rPr/>
        <w:t xml:space="preserve"> han chocado y negociado en distintos momentos de la con las tentativas de estabilización y asimilación representacional por parte del </w:t>
      </w:r>
      <w:r>
        <w:rPr>
          <w:i/>
          <w:iCs/>
        </w:rPr>
        <w:t>statu quo</w:t>
      </w:r>
      <w:r>
        <w:rPr/>
        <w:t xml:space="preserve">. Por eso me seguiré aproximando diacrónicamente a esas tentativas, lo cual además facilitará </w:t>
      </w:r>
      <w:r>
        <w:rPr>
          <w:shd w:fill="FFFF00" w:val="clear"/>
        </w:rPr>
        <w:t>caracterizar cómo la asimiliación de Rodríguez por los aparatos ideológicos de Estado marcó pautas que han persistido en las tentativas de interpretación crítica</w:t>
      </w:r>
      <w:r>
        <w:rPr/>
        <w:t>.</w:t>
      </w:r>
      <w:bookmarkEnd w:id="3"/>
    </w:p>
    <w:p>
      <w:pPr>
        <w:pStyle w:val="Heading3"/>
        <w:rPr/>
      </w:pPr>
      <w:bookmarkStart w:id="4"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 xml:space="preserve">El primer desborde en el texto es la desestabilización de la relación jerárquica que reafirma la iconografía. Esta </w:t>
      </w:r>
      <w:r>
        <w:rPr>
          <w:shd w:fill="FFFF00" w:val="clear"/>
        </w:rPr>
        <w:t>jerarquí</w:t>
      </w:r>
      <w:r>
        <w:rPr/>
        <w:t xml:space="preserve"> –que, como hemos visto, es expresada como un diferencial en el eje Y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5"/>
      </w:r>
      <w:r>
        <w:rPr/>
        <w:t>, pero también una voluntad de reconocimiento de su propia relevancia, coherente con lo que escribe detrás del original de la carta recibida de Bolívar en 1824. Esta voluntad de afirmar su propia relevancia y su propio lugar en la posteridad, más allá de Bolívar, se puede detallar en distintos momentos su obra publicada</w:t>
      </w:r>
      <w:r>
        <w:rPr>
          <w:shd w:fill="FFFF00" w:val="clear"/>
        </w:rPr>
        <w:t xml:space="preserve"> (nota : aquí menciono el señalamiento de Lasarte Valcárcel, sobre la insistencia en llevar sus textos a la imprenta para que sepan que él fue el primero en plantear sus ideas, y señalo varios momentos en que explícitamente reclama que se le reconozca como visionario)</w:t>
      </w:r>
      <w:r>
        <w:rPr/>
        <w:t>,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publicó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Bolívar («Obras I») llama a Rodríguez no solo “maestro”, sino “mi piloto” y “mi guía” en sus campañas heroicas. Además, prácticamente le implora a Rodríguez que vaya a reunirse con él, en nombre de su amistad (pp)</w:t>
      </w:r>
      <w:r>
        <w:rPr>
          <w:shd w:fill="FFFF00" w:val="clear"/>
        </w:rPr>
        <w:t>. Por otra parte</w:t>
      </w:r>
      <w:r>
        <w:rPr/>
        <w:t>,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[lado]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w:t>
      </w:r>
      <w:r>
        <w:rPr>
          <w:i/>
          <w:iCs/>
        </w:rPr>
        <w:t>Obras completas</w:t>
      </w:r>
      <w:r>
        <w:rPr/>
        <w:t xml:space="preserve"> 964) </w:t>
      </w:r>
      <w:r>
        <w:rPr>
          <w:rStyle w:val="FootnoteAnchor"/>
        </w:rPr>
        <w:footnoteReference w:id="16"/>
      </w:r>
      <w:r>
        <w:rPr/>
        <w:t>.</w:t>
      </w:r>
    </w:p>
    <w:p>
      <w:pPr>
        <w:pStyle w:val="FirstParagraph"/>
        <w:rPr/>
      </w:pPr>
      <w:r>
        <w:rPr/>
        <w:t>Rodríguez tenía también en alta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w:t>
      </w:r>
      <w:r>
        <w:rPr>
          <w:shd w:fill="FFFF00" w:val="clear"/>
        </w:rPr>
        <w:t xml:space="preserve"> Pero las variaciones que aparecen entre 1911 y 1950 en las pinturas de Salas en Caracas no son menos significativas</w:t>
      </w:r>
      <w:r>
        <w:rPr/>
        <w:t>: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 “Juramento” arrastró consigo a la circulación impresa.</w:t>
      </w:r>
    </w:p>
    <w:p>
      <w:pPr>
        <w:pStyle w:val="BlockText"/>
        <w:rPr/>
      </w:pPr>
      <w:r>
        <w:rPr/>
        <w:t>[figura: paralelo de las dos versiones con cuadrado sin relleno sobre Rodríguez]</w:t>
      </w:r>
    </w:p>
    <w:p>
      <w:pPr>
        <w:pStyle w:val="FirstParagraph"/>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(Merbilhaá 11).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4"/>
    </w:p>
    <w:p>
      <w:pPr>
        <w:pStyle w:val="Heading3"/>
        <w:rPr/>
      </w:pPr>
      <w:bookmarkStart w:id="5" w:name="una-lectura-cultual"/>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xml:space="preserve">,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w:t>
      </w:r>
      <w:r>
        <w:rPr>
          <w:shd w:fill="FFFF00" w:val="clear"/>
        </w:rPr>
        <w:t>[;LozanoYLozano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7"/>
      </w:r>
      <w:r>
        <w:rPr/>
        <w:t xml:space="preserve">, y los reinscribió como fuente de valor revolucionario y marca de autenticidad. El </w:t>
      </w:r>
      <w:r>
        <w:rPr>
          <w:shd w:fill="FFFF00" w:val="clear"/>
        </w:rPr>
        <w:t>desate y el desborde</w:t>
      </w:r>
      <w:r>
        <w:rPr/>
        <w:t xml:space="preserve"> que observaba Uribe Ángel se puso en la narración de Lozano y Lozano “al servicio de la razón” y del heroismo. Es del “estado morboso” de la inteligencia de Rodríguez de donde derivan “la violencia para resistir” y “la esperanza y el heroismo inextinguibles” de Bolívar. Y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rendían “culto casi de adoración a la memoria de Bolívar” (14). Como estableció Carrera Damas en su emblemática obra de 1969, </w:t>
      </w:r>
      <w:r>
        <w:rPr>
          <w:i/>
          <w:iCs/>
        </w:rPr>
        <w:t>El culto a Bolívar,</w:t>
      </w:r>
      <w:r>
        <w:rPr/>
        <w:t xml:space="preserve"> el conjunto de prácticas y mitos seculares organizad</w:t>
      </w:r>
      <w:r>
        <w:rPr>
          <w:shd w:fill="FF0000" w:val="clear"/>
        </w:rPr>
        <w:t>a</w:t>
      </w:r>
      <w:r>
        <w:rPr/>
        <w:t xml:space="preserve">s alrededor de la personalidad del Libertador tuvo su origen y su impacto más significativo en Venezuela. Sin embargo, su alcance tuvo un radio supranacional (pp). Así lo evidencia esta adscripción manifiesta por el colombiano en 1913, aunque los materiales de y sobre Rodríguez que Lozano y Lozano organizó en </w:t>
      </w:r>
      <w:r>
        <w:rPr>
          <w:i/>
          <w:iCs/>
        </w:rPr>
        <w:t>El maestro del Libertador</w:t>
      </w:r>
      <w:r>
        <w:rPr/>
        <w:t xml:space="preserve"> eran potenciales desestabilizadoras de la fe que el biógrafo profesaba: 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w:t>
      </w:r>
    </w:p>
    <w:p>
      <w:pPr>
        <w:pStyle w:val="TextBody"/>
        <w:rPr/>
      </w:pPr>
      <w:r>
        <w:rPr/>
        <w:t xml:space="preserve">Sin embargo, este peligro se conjura con varios dispositivos, como la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w:t>
      </w:r>
      <w:r>
        <w:rPr>
          <w:shd w:fill="FFFF00" w:val="clear"/>
        </w:rPr>
        <w:t>fuerza desestabilizadora</w:t>
      </w:r>
      <w:r>
        <w:rPr/>
        <w:t xml:space="preserve">. La figura misteriosa que daba la espalda al espectador en 1911 dejó un espacio menos limitado a la especulación herética, al adquirir rostro en el libro de Lozano y Lozano. Así, en el cuadro de 1950, las </w:t>
      </w:r>
      <w:r>
        <w:rPr>
          <w:shd w:fill="FFFF00" w:val="clear"/>
        </w:rPr>
        <w:t>fuerzas verbales</w:t>
      </w:r>
      <w:r>
        <w:rPr/>
        <w:t xml:space="preserve"> atadas al juramento que </w:t>
      </w:r>
      <w:r>
        <w:rPr>
          <w:shd w:fill="FFFF00" w:val="clear"/>
        </w:rPr>
        <w:t>pujaban por salirse del dique</w:t>
      </w:r>
      <w:r>
        <w:rPr/>
        <w:t xml:space="preserve"> se aplacaron en un rostro autosuficiente que se permitía mirar a otro lado, casi escéptico y relajado en el piso, mientras el Libertador apuntaba al infinito en máxima solemnidad. El culto absorbió así las </w:t>
      </w:r>
      <w:r>
        <w:rPr>
          <w:shd w:fill="FFFF00" w:val="clear"/>
        </w:rPr>
        <w:t>fuerzas fuera de cauc</w:t>
      </w:r>
      <w:r>
        <w:rPr/>
        <w:t>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(Lynch 48)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8"/>
      </w:r>
      <w:r>
        <w:rPr/>
        <w:t>.</w:t>
      </w:r>
    </w:p>
    <w:p>
      <w:pPr>
        <w:pStyle w:val="TextBody"/>
        <w:rPr/>
      </w:pPr>
      <w:bookmarkStart w:id="6"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muestro en la próxima sección– en el caso de Rodríguez se funda en otra narración apócrifa de su propia autoría.</w:t>
      </w:r>
      <w:bookmarkEnd w:id="6"/>
    </w:p>
    <w:p>
      <w:pPr>
        <w:pStyle w:val="Heading3"/>
        <w:rPr/>
      </w:pPr>
      <w:bookmarkStart w:id="7"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w:t>
      </w:r>
      <w:r>
        <w:rPr>
          <w:shd w:fill="FFFF00" w:val="clear"/>
        </w:rPr>
        <w:t xml:space="preserve">una aparición del </w:t>
      </w:r>
      <w:r>
        <w:rPr/>
        <w:t>a.p.p.</w:t>
      </w:r>
      <w:r>
        <w:rPr>
          <w:shd w:fill="FF0000" w:val="clear"/>
        </w:rPr>
        <w:t xml:space="preserve">. </w:t>
      </w:r>
      <w:r>
        <w:rPr/>
        <w:t>En su mano izquierda están enrolladas otras páginas del manuscrito. El óvalo que separa al rostro de sus extremidades en la impresión de Lozano y Lozano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w:t>
      </w:r>
      <w:r>
        <w:rPr>
          <w:shd w:fill="FFFF00" w:val="clear"/>
        </w:rPr>
        <w:t xml:space="preserve"> de apaciguamiento</w:t>
      </w:r>
      <w:r>
        <w:rPr/>
        <w:t xml:space="preserve"> de sus </w:t>
      </w:r>
      <w:r>
        <w:rPr>
          <w:shd w:fill="FFFF00" w:val="clear"/>
        </w:rPr>
        <w:t>potencias disrruptivas</w:t>
      </w:r>
      <w:r>
        <w:rPr/>
        <w:t xml:space="preserve">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w:t>
      </w:r>
      <w:r>
        <w:rPr>
          <w:shd w:fill="FFFF00" w:val="clear"/>
        </w:rPr>
        <w:t xml:space="preserve">que sin embargo anula las potencias destructivas de los </w:t>
      </w:r>
      <w:r>
        <w:rPr>
          <w:i/>
          <w:iCs/>
          <w:shd w:fill="FFFF00" w:val="clear"/>
        </w:rPr>
        <w:t>tópicos</w:t>
      </w:r>
      <w:r>
        <w:rPr>
          <w:shd w:fill="FFFF00" w:val="clear"/>
        </w:rPr>
        <w:t xml:space="preserve">, contenidas en los dispositivos de desencasillamiento que atraviesan su obra. </w:t>
      </w:r>
      <w:r>
        <w:rPr/>
        <w:t>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w:t>
      </w:r>
      <w:r>
        <w:rPr>
          <w:shd w:fill="FF0000" w:val="clear"/>
        </w:rPr>
        <w:t>tan</w:t>
      </w:r>
      <w:r>
        <w:rPr/>
        <w:t xml:space="preserve"> significativa. Pues si bien las tentativas de interpretación sucesivas no separan literalmente la cara de Rodríguez de su cuerpo y de su obra, esta separación sigue funcionando en la dinámica que describen Deleuze y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y Guattari 184).</w:t>
      </w:r>
    </w:p>
    <w:p>
      <w:pPr>
        <w:pStyle w:val="TextBody"/>
        <w:rPr>
          <w:highlight w:val="none"/>
          <w:shd w:fill="FFFF00" w:val="clear"/>
        </w:rPr>
      </w:pPr>
      <w:r>
        <w:rPr>
          <w:shd w:fill="FFFF00" w:val="clear"/>
        </w:rPr>
        <w:t xml:space="preserve">Claro que en el modelo metafórico de Deleuze y Guattari, el rostro no es un rostro en un sentido literal, como aparece en el </w:t>
      </w:r>
      <w:r>
        <w:rPr>
          <w:i/>
          <w:iCs/>
          <w:shd w:fill="FFFF00" w:val="clear"/>
        </w:rPr>
        <w:t>crop</w:t>
      </w:r>
      <w:r>
        <w:rPr>
          <w:shd w:fill="FFFF00" w:val="clear"/>
        </w:rPr>
        <w:t xml:space="preserve"> del </w:t>
      </w:r>
      <w:r>
        <w:rPr>
          <w:i/>
          <w:iCs/>
          <w:shd w:fill="FFFF00" w:val="clear"/>
        </w:rPr>
        <w:t>Maestro del Libertador</w:t>
      </w:r>
      <w:r>
        <w:rPr>
          <w:shd w:fill="FFFF00" w:val="clea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9"/>
      </w:r>
      <w:r>
        <w:rPr/>
        <w:t xml:space="preserve">. Entre 1980 y 2012, </w:t>
      </w:r>
      <w:r>
        <w:rPr>
          <w:i/>
          <w:iCs/>
        </w:rPr>
        <w:t>Inventamos o erramos</w:t>
      </w:r>
      <w:r>
        <w:rPr/>
        <w:t xml:space="preserve"> se reimprimió catorce veces, tanto en la editorial que la publicó originalmente, Monte Ávila Editores, como en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y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7"/>
    </w:p>
    <w:p>
      <w:pPr>
        <w:pStyle w:val="Heading2"/>
        <w:rPr/>
      </w:pPr>
      <w:bookmarkStart w:id="8" w:name="el-crop-romántico-del-individuo"/>
      <w:r>
        <w:rPr/>
        <w:t xml:space="preserve">2. El </w:t>
      </w:r>
      <w:r>
        <w:rPr>
          <w:i/>
          <w:iCs/>
        </w:rPr>
        <w:t>crop</w:t>
      </w:r>
      <w:r>
        <w:rPr/>
        <w:t xml:space="preserve"> romántico del individuo</w:t>
      </w:r>
    </w:p>
    <w:p>
      <w:pPr>
        <w:pStyle w:val="Heading3"/>
        <w:rPr/>
      </w:pPr>
      <w:bookmarkStart w:id="9"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 xml:space="preserve">Como ya indiqué, la primera forma de rostrificación que orientó el sentido de la obra de Rodríguez fue el diagnóstico de locura. Como señala Maximiliano Durán («La supuesta»),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w:t>
      </w:r>
      <w:r>
        <w:rPr>
          <w:shd w:fill="FFFF00" w:val="clear"/>
        </w:rPr>
        <w:t xml:space="preserve">«Locura, novedad y educación en el pensamiento político de Simón Rodríguez: un abordaje filosófico» </w:t>
      </w:r>
      <w:r>
        <w:rPr/>
        <w:t>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9"/>
    </w:p>
    <w:p>
      <w:pPr>
        <w:pStyle w:val="Heading3"/>
        <w:rPr/>
      </w:pPr>
      <w:bookmarkStart w:id="10" w:name="romantizar-para-normalizar"/>
      <w:r>
        <w:rPr/>
        <w:t>Roman(t)izar para normalizar</w:t>
      </w:r>
    </w:p>
    <w:p>
      <w:pPr>
        <w:pStyle w:val="FirstParagraph"/>
        <w:rPr/>
      </w:pPr>
      <w:r>
        <w:rPr/>
        <w:t>En la etapa de canonización de Rodríguez, Rawicz y Mondragón destacan la labor de difusión del filósofo mexicano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FootnoteAnchor"/>
        </w:rPr>
        <w:footnoteReference w:id="20"/>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21"/>
      </w:r>
      <w:r>
        <w:rPr/>
        <w:t>.</w:t>
      </w:r>
    </w:p>
    <w:p>
      <w:pPr>
        <w:pStyle w:val="TextBody"/>
        <w:rPr/>
      </w:pPr>
      <w:r>
        <w:rPr/>
        <w:t>Esta lectura de Rodríguez en muchos casos se produjo a partir de recortes muy parciales, sin acceso directo a su obra publicada (Rawicz y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es una de las más rigurosas que se ha publicado, en lo que se refiere a la preservación de las singularidades plásticas del texto de Rodríguez (Mondragón pp). Es decir, Úslar Pietri tuvo acceso directo a casi toda la obra –exceptuando los pocos materiales que han aparecido después</w:t>
      </w:r>
      <w:r>
        <w:rPr>
          <w:rStyle w:val="FootnoteAnchor"/>
        </w:rPr>
        <w:footnoteReference w:id="22"/>
      </w:r>
      <w:r>
        <w:rPr/>
        <w:t>–, como no la tuvieron sus pares de la historiografía culturalista latinoamericana. Además, gracias a esa perspectiva ampliada, pudo ser de los primeros en conocer y exponer las diferencias sustanciales entre el pensamiento de Rodríguez y el de Rousseau (Rawicz y Mondragón pp).</w:t>
      </w:r>
    </w:p>
    <w:p>
      <w:pPr>
        <w:pStyle w:val="TextBody"/>
        <w:rPr/>
      </w:pPr>
      <w:r>
        <w:rPr/>
        <w:t>Sin embargo, el entramado romántico en que Úslar Pietri insertó al autor seguía recurriendo enérgicamente al genovés como un rostro modélico para ordenar su lectura. Es decir, independientemente de lo muy cuestionable de la “tesis del Emilio”</w:t>
      </w:r>
      <w:r>
        <w:rPr>
          <w:rStyle w:val="FootnoteAnchor"/>
        </w:rPr>
        <w:footnoteReference w:id="23"/>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 xml:space="preserve">izaba sus anomalías. 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Sacro/Aventino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w:t>
      </w:r>
    </w:p>
    <w:p>
      <w:pPr>
        <w:pStyle w:val="TextBody"/>
        <w:rPr/>
      </w:pPr>
      <w:r>
        <w:rPr/>
        <w:t>Pero más aún que esas declaraciones de principios, son significativos los dispositivos de desencasillamiento, des-romantización y des-</w:t>
      </w:r>
      <w:r>
        <w:rPr>
          <w:i/>
          <w:iCs/>
        </w:rPr>
        <w:t>roman</w:t>
      </w:r>
      <w:r>
        <w:rPr/>
        <w:t xml:space="preserve">ización que –como el contenido apócrifo del “Juramento” y el “banquete” de La Paz–, se originan en la habilidad performática del Rodríguez narrador. 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24"/>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5"/>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6"/>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7"/>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(Lozano y Lozano 243; Marcoy 290). En la conversación, que se extiende hasta tarde, Rodríguez deja ver que está jugando con la credulidad del viajero, pues le da una versión completamente adulterada de su vida.</w:t>
      </w:r>
    </w:p>
    <w:p>
      <w:pPr>
        <w:pStyle w:val="TextBody"/>
        <w:rPr/>
      </w:pPr>
      <w:r>
        <w:rPr/>
        <w:t>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w:t>
      </w:r>
      <w:r>
        <w:rPr>
          <w:rStyle w:val="FootnoteAnchor"/>
        </w:rPr>
        <w:footnoteReference w:id="28"/>
      </w:r>
      <w:r>
        <w:rPr/>
        <w:t>.</w:t>
      </w:r>
      <w:bookmarkEnd w:id="10"/>
    </w:p>
    <w:p>
      <w:pPr>
        <w:pStyle w:val="Heading3"/>
        <w:rPr/>
      </w:pPr>
      <w:bookmarkStart w:id="11" w:name="el-chiste-omitido-del-pulpero-andaluz"/>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9"/>
      </w:r>
      <w:r>
        <w:rPr/>
        <w:t xml:space="preserve">. Pero en cualquier caso, este gesto ha sido subestimado o ignorado en su importancia crítica desde la transcripción que hizo Lozano y Lozano </w:t>
      </w:r>
      <w:r>
        <w:rPr>
          <w:rStyle w:val="FootnoteAnchor"/>
        </w:rPr>
        <w:footnoteReference w:id="30"/>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31"/>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(Morales y Biblioteca Ayacucho pp; Amunátegui pp) </w:t>
      </w:r>
      <w:r>
        <w:rPr>
          <w:rStyle w:val="FootnoteAnchor"/>
        </w:rPr>
        <w:footnoteReference w:id="32"/>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al menos desde la semblanza de Rodríguez que hizo Úslar Pietri en su prólogo de 1954 para la primera edición de sus obras completas, este episodio fue clave para articular la rostrificación de Rodríguez como un romántico aislado. Rodríguez se presenta como alguien que siempre vivió por deseo y conviccción una vida tan precaria y separada de la sociedad como la del pulpero de Azángaro.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y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[Rousseau] ama tanto la soledad y vivir solo que ni siquiera habría sufrido como Robinson debido a su insularidad” (Derrida 99) El Rodríguez histórico es al mismo tiempo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12" w:name="el-chiste-omitido-del-pulpero-andaluz"/>
      <w:r>
        <w:rPr/>
        <w:t>Pero el espisodio de Azángaro es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12"/>
    </w:p>
    <w:p>
      <w:pPr>
        <w:pStyle w:val="Heading3"/>
        <w:rPr/>
      </w:pPr>
      <w:bookmarkStart w:id="13" w:name="el-adentro-y-el-afuera"/>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(1828)</w:t>
      </w:r>
      <w:r>
        <w:rPr/>
        <w:t xml:space="preserve"> 4-5)</w:t>
      </w:r>
      <w:r>
        <w:rPr>
          <w:shd w:fill="FFFF00" w:val="clear"/>
        </w:rPr>
        <w:t xml:space="preserve"> .</w:t>
      </w:r>
    </w:p>
    <w:p>
      <w:pPr>
        <w:pStyle w:val="TextBody"/>
        <w:rPr/>
      </w:pPr>
      <w:r>
        <w:rPr>
          <w:shd w:fill="FFFF00" w:val="clear"/>
        </w:rPr>
        <w:t>C</w:t>
      </w:r>
      <w:r>
        <w:rPr/>
        <w:t xml:space="preserve">laro que la predisposición de Rodríguez no es gratuita: publica la primera entrega de </w:t>
      </w:r>
      <w:r>
        <w:rPr>
          <w:i/>
          <w:iCs/>
        </w:rPr>
        <w:t>Sociedades</w:t>
      </w:r>
      <w:r>
        <w:rPr/>
        <w:t xml:space="preserve"> tras dos años de vivir entre chismes contra él –como el de los orinales, probablemente– y conspiraciones contra sus proyectos en Bolivia y Perú</w:t>
      </w:r>
      <w:r>
        <w:rPr>
          <w:rStyle w:val="FootnoteAnchor"/>
        </w:rPr>
        <w:footnoteReference w:id="33"/>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Rodríguez anticipa una equivocada reacción despreciativa y burlona del público a sus escritos. Y esto desborda la perversión de los “perseguidores”, especialmente cuando se pone en relación con la afirmación de Rumazo González (</w:t>
      </w:r>
      <w:r>
        <w:rPr>
          <w:i/>
          <w:iCs/>
        </w:rPr>
        <w:t>Maestro</w:t>
      </w:r>
      <w:r>
        <w:rPr/>
        <w:t>), según la cual Rodríguez era el primero en contribuir a difundir las difamaciones que circulaban sobre él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(1828)</w:t>
      </w:r>
      <w:r>
        <w:rPr/>
        <w:t>) V). Así, Rodríguez establece el estilo como una cualidad que define posiciones en una lógica polarizada, donde él se ubica junto a lo vulgar y accesible, por “fuera”, y los Sabios se ubican del lado de lo recóndito y lo inaccesible, por “dentro”</w:t>
      </w:r>
      <w:r>
        <w:rPr>
          <w:shd w:fill="FFFF00" w:val="clear"/>
        </w:rPr>
        <w:t xml:space="preserve"> .</w:t>
      </w:r>
    </w:p>
    <w:p>
      <w:pPr>
        <w:pStyle w:val="TextBody"/>
        <w:rPr/>
      </w:pPr>
      <w:r>
        <w:rPr>
          <w:shd w:fill="FFFF00" w:val="clear"/>
        </w:rPr>
        <w:t>P</w:t>
      </w:r>
      <w:r>
        <w:rPr/>
        <w:t xml:space="preserve">or supuesto que la idea de que su escritura fuera clara o fácil es muy cuestionable y está en abierta contradicción con muchas afirmaciones de Rodríguez a lo largo de la obra.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Luces (1834)</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14"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14"/>
    </w:p>
    <w:p>
      <w:pPr>
        <w:pStyle w:val="Heading3"/>
        <w:rPr/>
      </w:pPr>
      <w:bookmarkStart w:id="15" w:name="contra-la-novela-de-su-vida"/>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(1842)</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fin de siglo latinoamericano.</w:t>
      </w:r>
    </w:p>
    <w:p>
      <w:pPr>
        <w:pStyle w:val="TextBody"/>
        <w:rPr/>
      </w:pPr>
      <w:bookmarkStart w:id="16" w:name="el-crop-romántico-del-individuo"/>
      <w:bookmarkStart w:id="17"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6"/>
      <w:bookmarkEnd w:id="17"/>
    </w:p>
    <w:p>
      <w:pPr>
        <w:pStyle w:val="Heading2"/>
        <w:rPr/>
      </w:pPr>
      <w:bookmarkStart w:id="18" w:name="otra-cara-del-arte-de-vanguardia"/>
      <w:r>
        <w:rPr/>
        <w:t>Otra cara del arte de vanguardia</w:t>
      </w:r>
    </w:p>
    <w:p>
      <w:pPr>
        <w:pStyle w:val="Heading3"/>
        <w:rPr/>
      </w:pPr>
      <w:bookmarkStart w:id="19"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a.p.p..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34"/>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y Mondragón. Como contraparte de estos agentes, el hombre empobrecido en las cercanías del Titicaca, que habiendo sido mentor de Bolívar escribía como Mallarmé y Apollinaire y desnudaba al poder como Trotsky y Bakunin</w:t>
      </w:r>
      <w:r>
        <w:rPr>
          <w:rStyle w:val="FootnoteAnchor"/>
        </w:rPr>
        <w:footnoteReference w:id="35"/>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y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Pulgar Machado, la lectura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obligaría a forzar un nuevo –o renovado– </w:t>
      </w:r>
      <w:r>
        <w:rPr>
          <w:i/>
          <w:iCs/>
        </w:rPr>
        <w:t>crop</w:t>
      </w:r>
      <w:r>
        <w:rPr/>
        <w:t xml:space="preserve"> y rostro rodrigueano, que lo separarían de amplias zonas de su texto y su cuerpo histórico. 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Esta lectura, al igual que la que lo libera de la voluntad de poder y control que compartió con los otros “sabios” de la ciudad letrada obligan a dejar de lado la relación dinámica que su estilo y su proyecto se proponen establecer entre el “adentro” y el “afuera” de la realidad social con la que dialoga.</w:t>
      </w:r>
    </w:p>
    <w:p>
      <w:pPr>
        <w:pStyle w:val="TextBody"/>
        <w:rPr/>
      </w:pPr>
      <w:bookmarkStart w:id="20" w:name="Xcbbb0cb51ad1501c76315f35e09e07e4e2476c4"/>
      <w:r>
        <w:rPr/>
        <w:t>Por eso en esta última sección, examino el horizonte político en que se inscribieron las innovaciones técnicas de Rodríguez que han sido identificadas como “vanguardistas”. Pues aunque Lasarte Valcárcel pone al vanguardismo como uno de los índices de lectura eufórica y descontextualizada de Rodríguez, en realidad, su condición de vanguardista en la primera mitad del siglo XIX, es uno de los aspectos que más nítidamente lo aproxima al lugar de enunciación que compartió con los letrados hegemónicos de su época. Es en este horizonte donde se gesta el a.p.p. con tipos móviles: la técnica que con más precisión ubica a Rodríguez en su epocalidad. No necesaria ni exactamente del “lado” de los opresores, pero sí en un extremo diferencial, donde se pone en juego el límite entre opresores y oprimidos en una escala global. Y se pone en juego, precisamente, a partir del tipo de técnicas que en determinado espacio-tiempo pudieron emerger como parte de la “vanguardia” o no.</w:t>
      </w:r>
      <w:bookmarkEnd w:id="20"/>
    </w:p>
    <w:p>
      <w:pPr>
        <w:pStyle w:val="Heading3"/>
        <w:rPr/>
      </w:pPr>
      <w:bookmarkStart w:id="21"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(1828)</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El mismo Rodríguez (</w:t>
      </w:r>
      <w:r>
        <w:rPr>
          <w:i/>
          <w:iCs/>
        </w:rPr>
        <w:t>Sociedades (1828)</w:t>
      </w:r>
      <w:r>
        <w:rPr/>
        <w:t xml:space="preserve">) declara las finalidades de su innovación técnica, desde las últimas páginas de </w:t>
      </w:r>
      <w:r>
        <w:rPr>
          <w:i/>
          <w:iCs/>
        </w:rPr>
        <w:t>Sociedades americanas en 1828</w:t>
      </w:r>
      <w:r>
        <w:rPr/>
        <w:t xml:space="preserve">, cuando asegura que “[e]n el modo de pintar [con las palabras] / consiste la expresión, y por la expresión se distinguen los estilos”. Pues ahí indica que el fin de dicha </w:t>
      </w:r>
      <w:r>
        <w:rPr>
          <w:i/>
          <w:iCs/>
        </w:rPr>
        <w:t>expresión</w:t>
      </w:r>
      <w:r>
        <w:rPr/>
        <w:t xml:space="preserve"> es “despertar la atención /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la voluntad de clausurar su sentido y reducirla a un medio cuyos efectos sociales se pueden controlar es manifiesta.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insistencia. Por ejemplo, a pesar de lo enérgicamente que Lasarte Valcárcel critica las analogías con los mencionados artistas del siglo XX, él mismo propone al final de su ensayo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bookmarkStart w:id="22" w:name="demasiado-jacobino-para-ser-dadaísta"/>
      <w:r>
        <w:rPr/>
        <w:t>Pero el “purismo” de los modernistas no aspiraba al tipo de pureza que propone el horizonte jacobino, donde los medios artísticos pueden fijarse inequívocamente a fines preestablecidos. Como señala Julio Ramos, en el caso del modernismo hispanoamericano, se trata más bien de un proyecto de autoridad y autonomía estilística, que resiste a los flujos de homogenización y mecanización del progreso, precisamente, contaminando el espacio lírico de mundanidad (pp). Parte de la singularidad de Rodríguez radica en que, asapirando a una pureza tan extrema y primitiva como la de los jacobinos, avanzó en la ruptura de la forma hasta un punto que los modernistas, con su voluntad de contaminación, no alcanzaron. Esto tiene que ver con los gestos de ruptura del orden convencional de los signos sobre la página, la ironía, metatextualidad, y otros recursos formales, pero también con el tipo de choque performático contra la sociedad al que estuvieron dispuestos, pues aunque los duelos a muerte de Rufino Blanco Fombona alcanzan el escándalo anecdótico, ninguna de estas figuras dejó inscrita en su biografía una escena como la del “banquete” de La Paz.</w:t>
      </w:r>
      <w:bookmarkEnd w:id="22"/>
    </w:p>
    <w:p>
      <w:pPr>
        <w:pStyle w:val="Heading3"/>
        <w:rPr/>
      </w:pPr>
      <w:bookmarkStart w:id="23"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w:t>
      </w:r>
      <w:r>
        <w:rPr/>
        <w:t xml:space="preserve">) también subraya su “actitud intransigente, excéntrica y personalista”. </w:t>
      </w:r>
      <w:r>
        <w:rPr>
          <w:shd w:fill="FF0000" w:val="clear"/>
        </w:rPr>
        <w:t xml:space="preserve">Con parece </w:t>
      </w:r>
      <w:r>
        <w:rPr/>
        <w:t xml:space="preserve">sugerir una contemporaneidad asíncrona con el vanguardismo de Duchamp, como la que sugiere Lasarte Valcárcel entre Rodríguez y los modernistas hispanoamericanos. Pero en realidad, la relación asíncrona de parentesco que más enfatiza no es la que establece con lo que Peter </w:t>
      </w:r>
      <w:r>
        <w:rPr>
          <w:shd w:fill="FF0000" w:val="clear"/>
        </w:rPr>
        <w:t xml:space="preserve">@ </w:t>
      </w:r>
      <w:r>
        <w:rPr/>
        <w:t>llamó “vanguardias históricas” –a las que pertenecerían Duchamp, Mallarmé y Apollinaire–, sino la que propone con “conceptualistas” latinoamericanos de la segunda mitad del siglo XX (pp). Este parenteso aleja más que acercar a Rodríguez de Duchamp, pues establece el –asumido– objetivo político y pedagógico de la obra de Rodríguez como fijador inequívoco de su valor artístico.</w:t>
      </w:r>
    </w:p>
    <w:p>
      <w:pPr>
        <w:pStyle w:val="TextBody"/>
        <w:rPr/>
      </w:pPr>
      <w:r>
        <w:rPr/>
        <w:t>Con la noción de “conceptualismo latinoamericano”, Camnitzer (</w:t>
      </w:r>
      <w:r>
        <w:rPr>
          <w:i/>
          <w:iCs/>
        </w:rPr>
        <w:t>Conceptualism</w:t>
      </w:r>
      <w:r>
        <w:rPr/>
        <w:t xml:space="preserve">) propone una tradición alternativa del arte conceptual latinoamericano que correría –junto a los Tupamaros de Uruguay o los argentinos de </w:t>
      </w:r>
      <w:r>
        <w:rPr>
          <w:i/>
          <w:iCs/>
        </w:rPr>
        <w:t>Tucumán Arde</w:t>
      </w:r>
      <w:r>
        <w:rPr/>
        <w:t>, por ejemplo– paralela a los circuitos más institucionalizados del arte occidental. Camnitzer (</w:t>
      </w:r>
      <w:r>
        <w:rPr>
          <w:i/>
          <w:iCs/>
        </w:rPr>
        <w:t>Conceptualism</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La tesis de Briggs propone una homología sincrónica, entre el concepto de arte de Rodríguez y el concepto de arte jacobino. La de Camnitzer, establece la homología diacrónicamente, a partir de un parentesco geográfico y veladamente racial</w:t>
      </w:r>
      <w:r>
        <w:rPr>
          <w:rStyle w:val="FootnoteAnchor"/>
        </w:rPr>
        <w:footnoteReference w:id="36"/>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lockText"/>
        <w:rPr/>
      </w:pPr>
      <w:r>
        <w:rPr/>
        <w:t>[figura: obras de Perna y de Camnitzer]</w:t>
      </w:r>
    </w:p>
    <w:p>
      <w:pPr>
        <w:pStyle w:val="FirstParagraph"/>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prefigurar diáfana y edificantemente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7"/>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orientada a darle forma a un proyecto civilizatorio preconcebido e ideal que lo superaba y lo sobredeterminaba: la “gran empresa” revolucionaria. Rodríguez, por su parte, coincidió con ellos al concebir su a.p.p.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8"/>
      </w:r>
      <w:r>
        <w:rPr/>
        <w:t xml:space="preserve"> (Ramos pp</w:t>
      </w:r>
      <w:r>
        <w:rPr>
          <w:shd w:fill="FFFF00" w:val="clear"/>
        </w:rPr>
        <w:t>)</w:t>
      </w:r>
    </w:p>
    <w:p>
      <w:pPr>
        <w:pStyle w:val="TextBody"/>
        <w:rPr/>
      </w:pPr>
      <w:r>
        <w:rPr>
          <w:shd w:fill="FFFF00" w:val="clear"/>
        </w:rPr>
        <w:t>Es decir, l</w:t>
      </w:r>
      <w:r>
        <w:rPr/>
        <w:t xml:space="preserve">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al modelo de civilización dominante.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23"/>
    </w:p>
    <w:p>
      <w:pPr>
        <w:pStyle w:val="Heading3"/>
        <w:rPr/>
      </w:pPr>
      <w:bookmarkStart w:id="24" w:name="el-arte-como-acción"/>
      <w:r>
        <w:rPr/>
        <w:t>El arte como acción</w:t>
      </w:r>
    </w:p>
    <w:p>
      <w:pPr>
        <w:pStyle w:val="FirstParagraph"/>
        <w:rPr/>
      </w:pPr>
      <w:r>
        <w:rPr/>
        <w:t>Como demuestro en el tercer capítulo, las tensiones que la técnica de Rodríguez pone en evidencia con la secuencia hegemónica de la modernidad artística y literaria no son accidentales ni secundarias: son efecto de dispositivos y conceptos en el a.p.p.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9"/>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 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necesariamente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40"/>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a.p.p.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sus textos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[Figura: El Curso natural de las cosas es un torrente / que arrastra con lo que encuentra / y vuelca lo que se le opone / Esta fuerza es la que hace las revoluciones / los hombres que figuran en ellas / son instrumentos de la necesidad / Son ACTORES / nó AUTORES (Rodríguez, </w:t>
      </w:r>
      <w:r>
        <w:rPr>
          <w:i/>
          <w:iCs/>
        </w:rPr>
        <w:t>Luces (1840)</w:t>
      </w:r>
      <w:r>
        <w:rPr/>
        <w:t>, pp)]</w:t>
      </w:r>
    </w:p>
    <w:p>
      <w:pPr>
        <w:pStyle w:val="FirstParagraph"/>
        <w:rPr/>
      </w:pPr>
      <w:r>
        <w:rPr/>
        <w:t>La idea del “curso natural de las cosas” connota la larga tradición de “filosofía natural” que, como nos recuerdan Graeber y Wengrow y Raymond Williams, estuvo entrelazada con la filosofía de la historia a lo largo de la Ilustración (pp). Ahora no me voy a detener a analizar en qué sentido específico usa Rodríguez el término “curso natural de las cosas”</w:t>
      </w:r>
      <w:r>
        <w:rPr>
          <w:rStyle w:val="FootnoteAnchor"/>
        </w:rPr>
        <w:footnoteReference w:id="41"/>
      </w:r>
      <w:r>
        <w:rPr/>
        <w:t xml:space="preserve">, que recorre diferentes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 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42"/>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de la que en conjunto profesaba la civilización europea y usamericana a la que trataban de imitar.</w:t>
      </w:r>
      <w:bookmarkEnd w:id="24"/>
    </w:p>
    <w:p>
      <w:pPr>
        <w:pStyle w:val="Heading3"/>
        <w:rPr/>
      </w:pPr>
      <w:bookmarkStart w:id="25" w:name="la-era-de-la-tecnoestética"/>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a.p.p. es poner en acto una técnica que quiere darle forma al futuro potencial que sospecha.</w:t>
      </w:r>
    </w:p>
    <w:p>
      <w:pPr>
        <w:pStyle w:val="TextBody"/>
        <w:rPr/>
      </w:pPr>
      <w:r>
        <w:rPr/>
        <w:t>Pero el a.p.p.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vanguardistas del siglo XX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w:t>
      </w:r>
      <w:r>
        <w:rPr>
          <w:rStyle w:val="FootnoteAnchor"/>
        </w:rPr>
        <w:footnoteReference w:id="43"/>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a.p.p.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a.p.p.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decimonónico–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(Ramos pp)</w:t>
      </w:r>
    </w:p>
    <w:p>
      <w:pPr>
        <w:pStyle w:val="TextBody"/>
        <w:rPr/>
      </w:pPr>
      <w:bookmarkStart w:id="26"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muestro en el próximo capítulo, el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probable destino de su proyecto, le da forma a una relación e incidencia sobre el “curso natural de las cosas” que no cabe ni en las casillas de la vanguardia de su época ni en las casillas de la vanguardia del –entonces– futuro.</w:t>
      </w:r>
      <w:bookmarkEnd w:id="26"/>
    </w:p>
    <w:p>
      <w:pPr>
        <w:pStyle w:val="Heading3"/>
        <w:rPr/>
      </w:pPr>
      <w:bookmarkStart w:id="27"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w:t>
      </w:r>
      <w:r>
        <w:rPr>
          <w:rStyle w:val="FootnoteAnchor"/>
        </w:rPr>
        <w:footnoteReference w:id="44"/>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5"/>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Justamente, lo que identifica Benjamin es un anclaje en los procesos (re)productivos de lo que Calinescu llama más metafísicamente “nihilismo omniabarcador”. El principio autodestructivo que puso en escena en el dadaísmo tenía que ver con un problema técnico, que iba más allá de los principios programáticos abstractos bajo los que el fascismo –con su programa de estetización de la política– quería controlar sus efectos: el problema de la “reproducción mecánica”, que como señaló Benjamin produjo una derogación del “valor de culto” de la obra de arte, y lo sustituyó por su “valor de exhibición” (pp). En esta transformación, que podía interpretarse como un índice de exacerbación de lo banal, Benjamin encontró una posibilidad revolucionaria. Como indica Bolívar Echeverría, esta posibilidad estaba dada por las relaciones de producción y consumo artístico que se imponían con el avance de tecnologías de reproducción mecánica de la imagen como el cine y la fotografía (pp). Pero en el modelo de Benjamin, esta posibilidad no estaba cifrada en el potencial de estas tecnologías para afirmar edificantemente un programa revolucionario, sino precisamente en su potencia destructiva de los valores fijos y predeterminados.</w:t>
      </w:r>
    </w:p>
    <w:p>
      <w:pPr>
        <w:pStyle w:val="TextBody"/>
        <w:rPr/>
      </w:pPr>
      <w:r>
        <w:rPr/>
        <w:t>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al destruir las nociones de original y de origen, destruían también la función tradicional de la obra arte, como mecanismo de cohesión social mediante el culto colectivo (pp)</w:t>
      </w:r>
      <w:r>
        <w:rPr>
          <w:rStyle w:val="FootnoteAnchor"/>
        </w:rPr>
        <w:footnoteReference w:id="46"/>
      </w:r>
      <w:r>
        <w:rPr/>
        <w:t>. En consecuencia, esta destrucción exponenciaba la posibilidad del arte de ofrecer resistencia, oposición o freno a la dirección –catastrófica– del progreso: a la idea de progreso que se había posicionado como una suerte de unívoco culto colectivo en la civilización moderna, que era transversal al comunismo y al capitalismo (Löwy pp).</w:t>
      </w:r>
    </w:p>
    <w:p>
      <w:pPr>
        <w:pStyle w:val="TextBody"/>
        <w:rPr/>
      </w:pPr>
      <w:r>
        <w:rPr/>
        <w:t xml:space="preserve">A la luz de las potencias para el arte identificadas por Benjamin en la reproducción mecánica, la clave para leer la relación entre la </w:t>
      </w:r>
      <w:r>
        <w:rPr>
          <w:i/>
          <w:iCs/>
        </w:rPr>
        <w:t>Fuente</w:t>
      </w:r>
      <w:r>
        <w:rPr/>
        <w:t xml:space="preserve"> de Marcel Duchamp y el “banquete” de Simón Rodríguez que plantea Luis Camnitzer (</w:t>
      </w:r>
      <w:r>
        <w:rPr>
          <w:i/>
          <w:iCs/>
        </w:rPr>
        <w:t>Conceptualism</w:t>
      </w:r>
      <w:r>
        <w:rPr/>
        <w:t>) está en la relación, más evidente y señalada, entre el a.p.p. y la poesía visual de Mallarmé, Apollinaire, Huidobro, Girondo, etcétera. Pues al contraponer estas obras a la de Rodríguez se pone en evidencia un aspecto puntual del desarrollo desigual que activa sus condiciones de posibilidad. Este aspecto es la abismal diferencia entre América Latina y Europa/Estados Unidos en el avance de las recnologías de reproducción mecánica en general y de la tecnología impresa en particular.</w:t>
      </w:r>
    </w:p>
    <w:p>
      <w:pPr>
        <w:pStyle w:val="TextBody"/>
        <w:rPr/>
      </w:pPr>
      <w:r>
        <w:rPr/>
        <w:t xml:space="preserve">Como </w:t>
      </w:r>
      <w:r>
        <w:rPr/>
        <w:t>detallo</w:t>
      </w:r>
      <w:r>
        <w:rPr/>
        <w:t xml:space="preserve"> en el próximo capítulo, una preocupación central de Rodríguez y motor de su a.p.p. fueron las posibilidades y peligros que significaba para Hispanoamérica la –tardía– adopción masiva de la primera tecnología de reproducción mecánica de la modernidad. Pues si Benjamin advertía en la introducción a su ensayo de 1936 que los efectos de la imprenta sobre la cultura “ya son conocidos” (pp), en el periodo de 1820 a 1850, el acceso a la tecnología de tipos móviles era todavía una novedad ajena y lejana a las grandes mayorías en Hispanoamérica. Y –lo que era más alarmante para Rodríguez– del mismo modo era ajeno y lejano el modelo de “comunidad imaginada” y de nación que, como demuestra Benedict Anderson, se forjó a la medida de las sobredeterminaciones que imponía esta tecnología: el “capitalismo de imprenta” emanado de Europa y Estados Unidos (pp).</w:t>
      </w:r>
    </w:p>
    <w:p>
      <w:pPr>
        <w:pStyle w:val="TextBody"/>
        <w:rPr/>
      </w:pPr>
      <w:r>
        <w:rPr/>
        <w:t>Estas condiciones son fundamentales para entender en su medida histórica la extrema singularidad y especificidad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a.p.p., la carcajada en francés y el “podrían” que Rodríguez lanzó al tiempo en 1828, abren una brecha en la clausura que ese horizonte suponía en 1936 –y que mucho más la supone en el presente. La comida servida en orinales en la ciudad de La Paz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28" w:name="refs"/>
      <w:bookmarkStart w:id="29" w:name="ref-aminElogeSocialisme1974"/>
      <w:r>
        <w:rPr/>
        <w:t xml:space="preserve">Amin, Samir. «Éloge Du Socialisme». </w:t>
      </w:r>
      <w:r>
        <w:rPr>
          <w:i/>
          <w:iCs/>
        </w:rPr>
        <w:t>L Homme Et La Société</w:t>
      </w:r>
      <w:r>
        <w:rPr/>
        <w:t xml:space="preserve">, Vol. 31, n.º 1, 1974, pp. 3-14. </w:t>
      </w:r>
      <w:r>
        <w:rPr>
          <w:i/>
          <w:iCs/>
        </w:rPr>
        <w:t>DOI.org (Crossref)</w:t>
      </w:r>
      <w:r>
        <w:rPr/>
        <w:t xml:space="preserve">, </w:t>
      </w:r>
      <w:hyperlink r:id="rId2">
        <w:r>
          <w:rPr>
            <w:rStyle w:val="InternetLink"/>
          </w:rPr>
          <w:t>https://doi.org/10.3406/homso.1974.1854</w:t>
        </w:r>
      </w:hyperlink>
      <w:r>
        <w:rPr/>
        <w:t>.</w:t>
      </w:r>
      <w:bookmarkEnd w:id="29"/>
    </w:p>
    <w:p>
      <w:pPr>
        <w:pStyle w:val="Bibliography"/>
        <w:rPr/>
      </w:pPr>
      <w:bookmarkStart w:id="30"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30"/>
    </w:p>
    <w:p>
      <w:pPr>
        <w:pStyle w:val="Bibliography"/>
        <w:rPr/>
      </w:pPr>
      <w:bookmarkStart w:id="31"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31"/>
    </w:p>
    <w:p>
      <w:pPr>
        <w:pStyle w:val="Bibliography"/>
        <w:rPr/>
      </w:pPr>
      <w:bookmarkStart w:id="32" w:name="X90cf82b97c88b1667cc2d2adc2616cef63347ed"/>
      <w:r>
        <w:rPr/>
        <w:t xml:space="preserve">Anderson, Benedict R. O’G. </w:t>
      </w:r>
      <w:r>
        <w:rPr>
          <w:i/>
          <w:iCs/>
        </w:rPr>
        <w:t>Imagined Communities : Reflections on the Origin and Spread of Nationalism</w:t>
      </w:r>
      <w:r>
        <w:rPr/>
        <w:t>. 2016. /z-wcorg/.</w:t>
      </w:r>
      <w:bookmarkEnd w:id="32"/>
    </w:p>
    <w:p>
      <w:pPr>
        <w:pStyle w:val="Bibliography"/>
        <w:rPr/>
      </w:pPr>
      <w:bookmarkStart w:id="33" w:name="ref-benjaminObraArteEpoca2003"/>
      <w:r>
        <w:rPr/>
        <w:t xml:space="preserve">Benjamin, Walter. </w:t>
      </w:r>
      <w:r>
        <w:rPr>
          <w:i/>
          <w:iCs/>
        </w:rPr>
        <w:t>La obra de arte en la época de su reproductibilidad técnica</w:t>
      </w:r>
      <w:r>
        <w:rPr/>
        <w:t>. Traducido por Andrés E. Weiker, Ítaca, 2003.</w:t>
      </w:r>
      <w:bookmarkEnd w:id="33"/>
    </w:p>
    <w:p>
      <w:pPr>
        <w:pStyle w:val="Bibliography"/>
        <w:rPr/>
      </w:pPr>
      <w:bookmarkStart w:id="34" w:name="ref-bhabhaNationNarration1991"/>
      <w:r>
        <w:rPr/>
        <w:t xml:space="preserve">Bhabha, Homi K. </w:t>
      </w:r>
      <w:r>
        <w:rPr>
          <w:i/>
          <w:iCs/>
        </w:rPr>
        <w:t>Nation and Narration</w:t>
      </w:r>
      <w:r>
        <w:rPr/>
        <w:t>. Routledge, 1991. /z-wcorg/.</w:t>
      </w:r>
      <w:bookmarkEnd w:id="34"/>
    </w:p>
    <w:p>
      <w:pPr>
        <w:pStyle w:val="Bibliography"/>
        <w:rPr/>
      </w:pPr>
      <w:bookmarkStart w:id="35" w:name="ref-bolivarSenorDonSimon1947"/>
      <w:r>
        <w:rPr/>
        <w:t xml:space="preserve">Bolívar, Simón. «Al señor Don Simón Rodríguez». </w:t>
      </w:r>
      <w:r>
        <w:rPr>
          <w:i/>
          <w:iCs/>
        </w:rPr>
        <w:t>Obras completas</w:t>
      </w:r>
      <w:r>
        <w:rPr/>
        <w:t>, Vol. 1, Ediciones Lisama, 1947.</w:t>
      </w:r>
      <w:bookmarkEnd w:id="35"/>
    </w:p>
    <w:p>
      <w:pPr>
        <w:pStyle w:val="Bibliography"/>
        <w:rPr/>
      </w:pPr>
      <w:bookmarkStart w:id="36" w:name="ref-bolivarObrasCompletas1947"/>
      <w:r>
        <w:rPr/>
        <w:t xml:space="preserve">---. </w:t>
      </w:r>
      <w:r>
        <w:rPr>
          <w:i/>
          <w:iCs/>
        </w:rPr>
        <w:t>Obras completas</w:t>
      </w:r>
      <w:r>
        <w:rPr/>
        <w:t>. Ediciones Lisama, 1947.</w:t>
      </w:r>
      <w:bookmarkEnd w:id="36"/>
    </w:p>
    <w:p>
      <w:pPr>
        <w:pStyle w:val="Bibliography"/>
        <w:rPr/>
      </w:pPr>
      <w:bookmarkStart w:id="37"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37"/>
    </w:p>
    <w:p>
      <w:pPr>
        <w:pStyle w:val="Bibliography"/>
        <w:rPr/>
      </w:pPr>
      <w:bookmarkStart w:id="38" w:name="ref-calinescuCincoCarasModernidad2003"/>
      <w:r>
        <w:rPr/>
        <w:t xml:space="preserve">Calinescu, Matei. </w:t>
      </w:r>
      <w:r>
        <w:rPr>
          <w:i/>
          <w:iCs/>
        </w:rPr>
        <w:t>Cinco caras de la modernidad: modernismo, vanguardia, decadencia, kitsch, posmodernismo</w:t>
      </w:r>
      <w:r>
        <w:rPr/>
        <w:t>. Traducido por Francisco Rodríguez Martín, Tecnos, 2003.</w:t>
      </w:r>
      <w:bookmarkEnd w:id="38"/>
    </w:p>
    <w:p>
      <w:pPr>
        <w:pStyle w:val="Bibliography"/>
        <w:rPr/>
      </w:pPr>
      <w:bookmarkStart w:id="39" w:name="Xd8b90658deaf75b5c23de03eaa334fbd835ea8e"/>
      <w:r>
        <w:rPr/>
        <w:t xml:space="preserve">Camnitzer, Luis. </w:t>
      </w:r>
      <w:r>
        <w:rPr>
          <w:i/>
          <w:iCs/>
        </w:rPr>
        <w:t>Conceptualism in Latin American Art: didactics of liberation</w:t>
      </w:r>
      <w:r>
        <w:rPr/>
        <w:t>. University of Texas Press, 2007.</w:t>
      </w:r>
      <w:bookmarkEnd w:id="39"/>
    </w:p>
    <w:p>
      <w:pPr>
        <w:pStyle w:val="Bibliography"/>
        <w:rPr/>
      </w:pPr>
      <w:bookmarkStart w:id="40"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40"/>
    </w:p>
    <w:p>
      <w:pPr>
        <w:pStyle w:val="Bibliography"/>
        <w:rPr/>
      </w:pPr>
      <w:bookmarkStart w:id="41" w:name="ref-carreradamasCultoBolivarEsbozo2013"/>
      <w:r>
        <w:rPr/>
        <w:t xml:space="preserve">Carrera Damas, German. </w:t>
      </w:r>
      <w:r>
        <w:rPr>
          <w:i/>
          <w:iCs/>
        </w:rPr>
        <w:t>El culto a Bolivar : esbozo para un estudio de la historia de las ideas en Venezuela</w:t>
      </w:r>
      <w:r>
        <w:rPr/>
        <w:t>. Editorial Alfa, 2013.</w:t>
      </w:r>
      <w:bookmarkEnd w:id="41"/>
    </w:p>
    <w:p>
      <w:pPr>
        <w:pStyle w:val="Bibliography"/>
        <w:rPr/>
      </w:pPr>
      <w:bookmarkStart w:id="42"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editado por Beatriz. González Stephan et al., Monte Avila Editores Latinoamericana, 1995, </w:t>
      </w:r>
      <w:hyperlink r:id="rId6">
        <w:r>
          <w:rPr>
            <w:rStyle w:val="InternetLink"/>
          </w:rPr>
          <w:t>https://books.google.com/books?id=5Tx3Sf4DvfsC</w:t>
        </w:r>
      </w:hyperlink>
      <w:r>
        <w:rPr/>
        <w:t>.</w:t>
      </w:r>
      <w:bookmarkEnd w:id="42"/>
    </w:p>
    <w:p>
      <w:pPr>
        <w:pStyle w:val="Bibliography"/>
        <w:rPr/>
      </w:pPr>
      <w:bookmarkStart w:id="43" w:name="ref-DefinitionDialegmatique"/>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Accedido 17 Dic. 2022.</w:t>
      </w:r>
      <w:bookmarkEnd w:id="43"/>
    </w:p>
    <w:p>
      <w:pPr>
        <w:pStyle w:val="Bibliography"/>
        <w:rPr/>
      </w:pPr>
      <w:bookmarkStart w:id="44" w:name="ref-deleuzeMilMesetasCapitalismo2002"/>
      <w:r>
        <w:rPr/>
        <w:t xml:space="preserve">Deleuze, Gilles, y Félix Guattari. </w:t>
      </w:r>
      <w:r>
        <w:rPr>
          <w:i/>
          <w:iCs/>
        </w:rPr>
        <w:t>Mil mesetas: capitalismo y esquizofrenia</w:t>
      </w:r>
      <w:r>
        <w:rPr/>
        <w:t>. Traducido por José Vásquez Pérez, 5.ª ed., Pre-Textos, 2002.</w:t>
      </w:r>
      <w:bookmarkEnd w:id="44"/>
    </w:p>
    <w:p>
      <w:pPr>
        <w:pStyle w:val="Bibliography"/>
        <w:rPr/>
      </w:pPr>
      <w:bookmarkStart w:id="45" w:name="ref-derridaSeminarioBestiaSoberano2010"/>
      <w:r>
        <w:rPr/>
        <w:t xml:space="preserve">Derrida, Jacques. </w:t>
      </w:r>
      <w:r>
        <w:rPr>
          <w:i/>
          <w:iCs/>
        </w:rPr>
        <w:t>Seminario La bestia y el soberano</w:t>
      </w:r>
      <w:r>
        <w:rPr/>
        <w:t>. Ediciones Manantial, 2010.</w:t>
      </w:r>
      <w:bookmarkEnd w:id="45"/>
    </w:p>
    <w:p>
      <w:pPr>
        <w:pStyle w:val="Bibliography"/>
        <w:rPr/>
      </w:pPr>
      <w:bookmarkStart w:id="46" w:name="ref-duranSupuestaInfluenciaRousseau2011"/>
      <w:r>
        <w:rPr/>
        <w:t xml:space="preserve">Durán, Maximiliano. «La supuesta influencia de Rousseau en el pensamiento de Simón Rodríguez: la “tesis del Emilio”». </w:t>
      </w:r>
      <w:r>
        <w:rPr>
          <w:i/>
          <w:iCs/>
        </w:rPr>
        <w:t>Iberoamericana (Madrid, Spain)</w:t>
      </w:r>
      <w:r>
        <w:rPr/>
        <w:t>, Vol. 11, n.º 42, 2011, pp. 7-20.</w:t>
      </w:r>
      <w:bookmarkEnd w:id="46"/>
    </w:p>
    <w:p>
      <w:pPr>
        <w:pStyle w:val="Bibliography"/>
        <w:rPr/>
      </w:pPr>
      <w:bookmarkStart w:id="47" w:name="ref-duranLocuraNovedadEducacion2017"/>
      <w:r>
        <w:rPr/>
        <w:t xml:space="preserve">---. «Locura, novedad y educación en el pensamiento político de Simón Rodríguez: un abordaje filosófico». </w:t>
      </w:r>
      <w:r>
        <w:rPr>
          <w:i/>
          <w:iCs/>
        </w:rPr>
        <w:t>Cadernos de História da Educação</w:t>
      </w:r>
      <w:r>
        <w:rPr/>
        <w:t xml:space="preserve">, Vol. 16, n.º 2, 2017, pp. 525-38, </w:t>
      </w:r>
      <w:hyperlink r:id="rId8">
        <w:r>
          <w:rPr>
            <w:rStyle w:val="InternetLink"/>
          </w:rPr>
          <w:t>https://seer.ufu.br/index.php/che/article/view/39602</w:t>
        </w:r>
      </w:hyperlink>
      <w:r>
        <w:rPr/>
        <w:t>.</w:t>
      </w:r>
      <w:bookmarkEnd w:id="47"/>
    </w:p>
    <w:p>
      <w:pPr>
        <w:pStyle w:val="Bibliography"/>
        <w:rPr/>
      </w:pPr>
      <w:bookmarkStart w:id="48" w:name="ref-echeverriaIntroduccion2003"/>
      <w:r>
        <w:rPr/>
        <w:t xml:space="preserve">Echeverría, Bolívar. «Introducción». </w:t>
      </w:r>
      <w:r>
        <w:rPr>
          <w:i/>
          <w:iCs/>
        </w:rPr>
        <w:t>La obra de arte en la época de su reproductibilidad técnica</w:t>
      </w:r>
      <w:r>
        <w:rPr/>
        <w:t>, de Walter Benjamin y Andrés E. Weiker, Ítaca, 2003.</w:t>
      </w:r>
      <w:bookmarkEnd w:id="48"/>
    </w:p>
    <w:p>
      <w:pPr>
        <w:pStyle w:val="Bibliography"/>
        <w:rPr/>
      </w:pPr>
      <w:bookmarkStart w:id="49"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9"/>
    </w:p>
    <w:p>
      <w:pPr>
        <w:pStyle w:val="Bibliography"/>
        <w:rPr/>
      </w:pPr>
      <w:bookmarkStart w:id="50" w:name="ref-foucaultQueEsAutor2010"/>
      <w:r>
        <w:rPr/>
        <w:t xml:space="preserve">Foucault, Michel. </w:t>
      </w:r>
      <w:r>
        <w:rPr>
          <w:i/>
          <w:iCs/>
        </w:rPr>
        <w:t>Qué es un autor</w:t>
      </w:r>
      <w:r>
        <w:rPr/>
        <w:t>. El Cuenco de Plata, 2010.</w:t>
      </w:r>
      <w:bookmarkEnd w:id="50"/>
    </w:p>
    <w:p>
      <w:pPr>
        <w:pStyle w:val="Bibliography"/>
        <w:rPr/>
      </w:pPr>
      <w:bookmarkStart w:id="51" w:name="ref-graeberDawnEverythingNew2021"/>
      <w:r>
        <w:rPr/>
        <w:t xml:space="preserve">Graeber, David, y D. Wengrow. </w:t>
      </w:r>
      <w:r>
        <w:rPr>
          <w:i/>
          <w:iCs/>
        </w:rPr>
        <w:t>The dawn of everything: a new history of humanity</w:t>
      </w:r>
      <w:r>
        <w:rPr/>
        <w:t>. Unabridged, Macmillan Audio, 2021.</w:t>
      </w:r>
      <w:bookmarkEnd w:id="51"/>
    </w:p>
    <w:p>
      <w:pPr>
        <w:pStyle w:val="Bibliography"/>
        <w:rPr/>
      </w:pPr>
      <w:bookmarkStart w:id="52" w:name="ref-hobsbawmNationsNationalism17801990"/>
      <w:r>
        <w:rPr/>
        <w:t xml:space="preserve">Hobsbawm, E. J. </w:t>
      </w:r>
      <w:r>
        <w:rPr>
          <w:i/>
          <w:iCs/>
        </w:rPr>
        <w:t>Nations and nationalism since 1780: programme, myth, reality</w:t>
      </w:r>
      <w:r>
        <w:rPr/>
        <w:t>. Cambridge University Press, 1990.</w:t>
      </w:r>
      <w:bookmarkEnd w:id="52"/>
    </w:p>
    <w:p>
      <w:pPr>
        <w:pStyle w:val="Bibliography"/>
        <w:rPr/>
      </w:pPr>
      <w:bookmarkStart w:id="53"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53"/>
    </w:p>
    <w:p>
      <w:pPr>
        <w:pStyle w:val="Bibliography"/>
        <w:rPr/>
      </w:pPr>
      <w:bookmarkStart w:id="54"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54"/>
    </w:p>
    <w:p>
      <w:pPr>
        <w:pStyle w:val="Bibliography"/>
        <w:rPr/>
      </w:pPr>
      <w:bookmarkStart w:id="55"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55"/>
    </w:p>
    <w:p>
      <w:pPr>
        <w:pStyle w:val="Bibliography"/>
        <w:rPr/>
      </w:pPr>
      <w:bookmarkStart w:id="56" w:name="ref-lecunaSenorDonSimon1947"/>
      <w:r>
        <w:rPr/>
        <w:t xml:space="preserve">Lecuna, Vicente, editor. «Al señor Don Simón Rodríguez». </w:t>
      </w:r>
      <w:r>
        <w:rPr>
          <w:i/>
          <w:iCs/>
        </w:rPr>
        <w:t>Obras completas</w:t>
      </w:r>
      <w:r>
        <w:rPr/>
        <w:t>, de Simón Bolívar, Ediciones Lisama, 1947.</w:t>
      </w:r>
      <w:bookmarkEnd w:id="56"/>
    </w:p>
    <w:p>
      <w:pPr>
        <w:pStyle w:val="Bibliography"/>
        <w:rPr/>
      </w:pPr>
      <w:bookmarkStart w:id="57" w:name="X4c2da6591ec1a753ff9dbca9b45c70a0dd016e5"/>
      <w:r>
        <w:rPr/>
        <w:t xml:space="preserve">Lezama Lima, José. «El romanticismo y el hecho americano». </w:t>
      </w:r>
      <w:r>
        <w:rPr>
          <w:i/>
          <w:iCs/>
        </w:rPr>
        <w:t>La expresión americana</w:t>
      </w:r>
      <w:r>
        <w:rPr/>
        <w:t>, editado por Irlemar. Chiampi, Confluencias, 2011.</w:t>
      </w:r>
      <w:bookmarkEnd w:id="57"/>
    </w:p>
    <w:p>
      <w:pPr>
        <w:pStyle w:val="Bibliography"/>
        <w:rPr/>
      </w:pPr>
      <w:bookmarkStart w:id="58" w:name="ref-lopezCirculoBellasArtes1998"/>
      <w:r>
        <w:rPr/>
        <w:t xml:space="preserve">López, José Enrique, et al. «El Círculo de Bellas Artes y la modernidad pictórica en Venezuela». </w:t>
      </w:r>
      <w:r>
        <w:rPr>
          <w:i/>
          <w:iCs/>
        </w:rPr>
        <w:t>Gaceta Médica de Caracas</w:t>
      </w:r>
      <w:r>
        <w:rPr/>
        <w:t>, Vol. 1, n.º 106, 1998, pp. 89-102.</w:t>
      </w:r>
      <w:bookmarkEnd w:id="58"/>
    </w:p>
    <w:p>
      <w:pPr>
        <w:pStyle w:val="Bibliography"/>
        <w:rPr/>
      </w:pPr>
      <w:bookmarkStart w:id="59" w:name="ref-lowyRedencionUtopiaJudaismo2019"/>
      <w:r>
        <w:rPr/>
        <w:t xml:space="preserve">Löwy, Michael. </w:t>
      </w:r>
      <w:r>
        <w:rPr>
          <w:i/>
          <w:iCs/>
        </w:rPr>
        <w:t>Redención y Utopía : El judaísmo libertario en Europa central. Un estudio de afinidad electiva</w:t>
      </w:r>
      <w:r>
        <w:rPr/>
        <w:t xml:space="preserve">. Ariadna Ediciones, 2019. </w:t>
      </w:r>
      <w:r>
        <w:rPr>
          <w:i/>
          <w:iCs/>
        </w:rPr>
        <w:t>OpenEdition Books</w:t>
      </w:r>
      <w:r>
        <w:rPr/>
        <w:t xml:space="preserve">, </w:t>
      </w:r>
      <w:hyperlink r:id="rId11">
        <w:r>
          <w:rPr>
            <w:rStyle w:val="InternetLink"/>
          </w:rPr>
          <w:t>http://books.openedition.org/ariadnaediciones/1568</w:t>
        </w:r>
      </w:hyperlink>
      <w:r>
        <w:rPr/>
        <w:t>.</w:t>
      </w:r>
      <w:bookmarkEnd w:id="59"/>
    </w:p>
    <w:p>
      <w:pPr>
        <w:pStyle w:val="Bibliography"/>
        <w:rPr/>
      </w:pPr>
      <w:bookmarkStart w:id="60" w:name="ref-lozanoylozanoMaestroLibertador1913"/>
      <w:r>
        <w:rPr/>
        <w:t xml:space="preserve">Lozano y Lozano, Fabio. </w:t>
      </w:r>
      <w:r>
        <w:rPr>
          <w:i/>
          <w:iCs/>
        </w:rPr>
        <w:t>El maestro del Libertador</w:t>
      </w:r>
      <w:r>
        <w:rPr/>
        <w:t>. P. Ollendorff, 1913.</w:t>
      </w:r>
      <w:bookmarkEnd w:id="60"/>
    </w:p>
    <w:p>
      <w:pPr>
        <w:pStyle w:val="Bibliography"/>
        <w:rPr/>
      </w:pPr>
      <w:bookmarkStart w:id="61" w:name="ref-lynchBolivarLife2006"/>
      <w:r>
        <w:rPr/>
        <w:t xml:space="preserve">Lynch, John. </w:t>
      </w:r>
      <w:r>
        <w:rPr>
          <w:i/>
          <w:iCs/>
        </w:rPr>
        <w:t>Bolivar: A Life</w:t>
      </w:r>
      <w:r>
        <w:rPr/>
        <w:t>. Yale University Press, 2006.</w:t>
      </w:r>
      <w:bookmarkEnd w:id="61"/>
    </w:p>
    <w:p>
      <w:pPr>
        <w:pStyle w:val="Bibliography"/>
        <w:rPr/>
      </w:pPr>
      <w:bookmarkStart w:id="62"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n.º 33, Ene. 1877, </w:t>
      </w:r>
      <w:hyperlink r:id="rId12">
        <w:r>
          <w:rPr>
            <w:rStyle w:val="InternetLink"/>
          </w:rPr>
          <w:t>https://gallica.bnf.fr/ark:/12148/bpt6k344072</w:t>
        </w:r>
      </w:hyperlink>
      <w:r>
        <w:rPr/>
        <w:t>.</w:t>
      </w:r>
      <w:bookmarkEnd w:id="62"/>
    </w:p>
    <w:p>
      <w:pPr>
        <w:pStyle w:val="Bibliography"/>
        <w:rPr/>
      </w:pPr>
      <w:bookmarkStart w:id="63" w:name="X9da7c25a52ec56ef611ff6af2eef4f2fd07475b"/>
      <w:r>
        <w:rPr/>
        <w:t xml:space="preserve">Merbilhaá, Margarita. «Mediaciones culturales en el comercio de libros entre París y Buenos Aires. El caso de la Casa Editorial Hispano-Americana (1911-1932)». </w:t>
      </w:r>
      <w:r>
        <w:rPr>
          <w:i/>
          <w:iCs/>
        </w:rPr>
        <w:t>Estudios de Teoría Literaria. Revista digital: artes, letras y humanidades</w:t>
      </w:r>
      <w:r>
        <w:rPr/>
        <w:t xml:space="preserve">, Vol. 8, n.º 17, Nov. 2019, pp. 9-20, </w:t>
      </w:r>
      <w:hyperlink r:id="rId13">
        <w:r>
          <w:rPr>
            <w:rStyle w:val="InternetLink"/>
          </w:rPr>
          <w:t>https://fh.mdp.edu.ar/revistas/index.php/etl/article/download/3715/3725</w:t>
        </w:r>
      </w:hyperlink>
      <w:r>
        <w:rPr/>
        <w:t>.</w:t>
      </w:r>
      <w:bookmarkEnd w:id="63"/>
    </w:p>
    <w:p>
      <w:pPr>
        <w:pStyle w:val="Bibliography"/>
        <w:rPr/>
      </w:pPr>
      <w:bookmarkStart w:id="64"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n.º 75, 2016, pp. 113-37.</w:t>
      </w:r>
      <w:bookmarkEnd w:id="64"/>
    </w:p>
    <w:p>
      <w:pPr>
        <w:pStyle w:val="Bibliography"/>
        <w:rPr/>
      </w:pPr>
      <w:bookmarkStart w:id="65" w:name="ref-moralesCronologia1990"/>
      <w:r>
        <w:rPr/>
        <w:t xml:space="preserve">Morales, Fabio, y Departamento Técnico de Biblioteca Ayacucho. «Cronología». </w:t>
      </w:r>
      <w:r>
        <w:rPr>
          <w:i/>
          <w:iCs/>
        </w:rPr>
        <w:t>Sociedades americanas</w:t>
      </w:r>
      <w:r>
        <w:rPr/>
        <w:t>, de Simón. Rodríguez, Biblioteca Ayacucho, 1990.</w:t>
      </w:r>
      <w:bookmarkEnd w:id="65"/>
    </w:p>
    <w:p>
      <w:pPr>
        <w:pStyle w:val="Bibliography"/>
        <w:rPr/>
      </w:pPr>
      <w:bookmarkStart w:id="66" w:name="X702254742eb6b3d01ac4295431fa269d48b2f92"/>
      <w:r>
        <w:rPr/>
        <w:t xml:space="preserve">Pulgar Machado, Camila. «Preguntas sobre la autoridad de Simón Rodríguez». </w:t>
      </w:r>
      <w:r>
        <w:rPr>
          <w:i/>
          <w:iCs/>
        </w:rPr>
        <w:t>Guaraguao</w:t>
      </w:r>
      <w:r>
        <w:rPr/>
        <w:t xml:space="preserve">, Vol. 20, n.º 52/53, Verano-Otoño 2016, pp. 44-55. </w:t>
      </w:r>
      <w:r>
        <w:rPr>
          <w:i/>
          <w:iCs/>
        </w:rPr>
        <w:t>Open WorldCat</w:t>
      </w:r>
      <w:r>
        <w:rPr/>
        <w:t xml:space="preserve">, </w:t>
      </w:r>
      <w:hyperlink r:id="rId14">
        <w:r>
          <w:rPr>
            <w:rStyle w:val="InternetLink"/>
          </w:rPr>
          <w:t>http://www.jstor.org/stable/44078706</w:t>
        </w:r>
      </w:hyperlink>
      <w:r>
        <w:rPr/>
        <w:t>.</w:t>
      </w:r>
      <w:bookmarkEnd w:id="66"/>
    </w:p>
    <w:p>
      <w:pPr>
        <w:pStyle w:val="Bibliography"/>
        <w:rPr/>
      </w:pPr>
      <w:bookmarkStart w:id="67" w:name="ref-raeExotericaExotericoDiccionario2022"/>
      <w:r>
        <w:rPr/>
        <w:t xml:space="preserve">RAE. «exotérica, exotérico | Diccionario panhispánico de dudas». </w:t>
      </w:r>
      <w:r>
        <w:rPr>
          <w:i/>
          <w:iCs/>
        </w:rPr>
        <w:t>Diccionario panhispánico de dudas</w:t>
      </w:r>
      <w:r>
        <w:rPr/>
        <w:t xml:space="preserve">, 6 Nov. 2022, </w:t>
      </w:r>
      <w:hyperlink r:id="rId15">
        <w:r>
          <w:rPr>
            <w:rStyle w:val="InternetLink"/>
          </w:rPr>
          <w:t>https://www.rae.es/dpd/exotérica</w:t>
        </w:r>
      </w:hyperlink>
      <w:r>
        <w:rPr/>
        <w:t>.</w:t>
      </w:r>
      <w:bookmarkEnd w:id="67"/>
    </w:p>
    <w:p>
      <w:pPr>
        <w:pStyle w:val="Bibliography"/>
        <w:rPr/>
      </w:pPr>
      <w:bookmarkStart w:id="68" w:name="X0734c2896948a1476aa90946fa05f15d3bfe26c"/>
      <w:r>
        <w:rPr/>
        <w:t xml:space="preserve">Ramos, Julio. </w:t>
      </w:r>
      <w:r>
        <w:rPr>
          <w:i/>
          <w:iCs/>
        </w:rPr>
        <w:t>Desencuentros de la modernidad en América Latina: literatura y política en el siglo XIX</w:t>
      </w:r>
      <w:r>
        <w:rPr/>
        <w:t>. El Perro y la Rana, 2009.</w:t>
      </w:r>
      <w:bookmarkEnd w:id="68"/>
    </w:p>
    <w:p>
      <w:pPr>
        <w:pStyle w:val="Bibliography"/>
        <w:rPr/>
      </w:pPr>
      <w:bookmarkStart w:id="69" w:name="ref-rawiczCampoLatinoamericanista2022"/>
      <w:r>
        <w:rPr/>
        <w:t xml:space="preserve">Rawicz, Daniela, y Rafael Mondragón. «El campo latinoamericanista». </w:t>
      </w:r>
      <w:r>
        <w:rPr>
          <w:i/>
          <w:iCs/>
        </w:rPr>
        <w:t>Estudios críticos sobre Sociedades americanas en 1828 de Simón Rodríguez</w:t>
      </w:r>
      <w:r>
        <w:rPr/>
        <w:t>, editado por María del Rayo Ramírez et al., Universidad Autónoma de la Ciudad de México, 2022.</w:t>
      </w:r>
      <w:bookmarkEnd w:id="69"/>
    </w:p>
    <w:p>
      <w:pPr>
        <w:pStyle w:val="Bibliography"/>
        <w:rPr/>
      </w:pPr>
      <w:bookmarkStart w:id="70" w:name="ref-rodriguezCartas2001"/>
      <w:r>
        <w:rPr/>
        <w:t xml:space="preserve">Rodríguez, Simón. </w:t>
      </w:r>
      <w:r>
        <w:rPr>
          <w:i/>
          <w:iCs/>
        </w:rPr>
        <w:t>Cartas</w:t>
      </w:r>
      <w:r>
        <w:rPr/>
        <w:t>. Editado por Jesús Andrés-Lasheras, Universidad Nacional Experimental Simón Rodríguez, Ediciones Rectorado, 2001.</w:t>
      </w:r>
      <w:bookmarkEnd w:id="70"/>
    </w:p>
    <w:p>
      <w:pPr>
        <w:pStyle w:val="Bibliography"/>
        <w:rPr/>
      </w:pPr>
      <w:bookmarkStart w:id="71" w:name="ref-rodriguezInventamosErramos2004"/>
      <w:r>
        <w:rPr/>
        <w:t xml:space="preserve">---. </w:t>
      </w:r>
      <w:r>
        <w:rPr>
          <w:i/>
          <w:iCs/>
        </w:rPr>
        <w:t>Inventamos o erramos</w:t>
      </w:r>
      <w:r>
        <w:rPr/>
        <w:t>. Editado por Dardo Cúneo, Monte Avila, 2004.</w:t>
      </w:r>
      <w:bookmarkEnd w:id="71"/>
    </w:p>
    <w:p>
      <w:pPr>
        <w:pStyle w:val="Bibliography"/>
        <w:rPr/>
      </w:pPr>
      <w:bookmarkStart w:id="72" w:name="ref-RodriguezSimon"/>
      <w:r>
        <w:rPr/>
        <w:t xml:space="preserve">«Rodríguez, Simón». </w:t>
      </w:r>
      <w:r>
        <w:rPr>
          <w:i/>
          <w:iCs/>
        </w:rPr>
        <w:t>Diccionario de historia de Venezuela. Fundación Empresas Polar</w:t>
      </w:r>
      <w:r>
        <w:rPr/>
        <w:t xml:space="preserve">, </w:t>
      </w:r>
      <w:hyperlink r:id="rId16">
        <w:r>
          <w:rPr>
            <w:rStyle w:val="InternetLink"/>
          </w:rPr>
          <w:t>https://bibliofep.fundacionempresaspolar.org/dhv/entradas/r/rodriguez-simon/</w:t>
        </w:r>
      </w:hyperlink>
      <w:r>
        <w:rPr/>
        <w:t>. Accedido 27 May. 2022.</w:t>
      </w:r>
      <w:bookmarkEnd w:id="72"/>
    </w:p>
    <w:p>
      <w:pPr>
        <w:pStyle w:val="Bibliography"/>
        <w:rPr/>
      </w:pPr>
      <w:bookmarkStart w:id="73"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73"/>
    </w:p>
    <w:p>
      <w:pPr>
        <w:pStyle w:val="Bibliography"/>
        <w:rPr/>
      </w:pPr>
      <w:bookmarkStart w:id="74" w:name="Xb1f00bbdd6f2470181f2c5426e97d6fa78accce"/>
      <w:r>
        <w:rPr/>
        <w:t xml:space="preserve">---. </w:t>
      </w:r>
      <w:r>
        <w:rPr>
          <w:i/>
          <w:iCs/>
        </w:rPr>
        <w:t>Sociedades Americanas en 1828. Cómo serán y cómo podrían ser en los siglos venideros</w:t>
      </w:r>
      <w:r>
        <w:rPr/>
        <w:t>. Universidad Autónoma Metropolitana, 2018.</w:t>
      </w:r>
      <w:bookmarkEnd w:id="74"/>
    </w:p>
    <w:p>
      <w:pPr>
        <w:pStyle w:val="Bibliography"/>
        <w:rPr/>
      </w:pPr>
      <w:bookmarkStart w:id="75" w:name="Xab529273013232e3cdcfca1a02cf3cfd12e2aff"/>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 2018.</w:t>
      </w:r>
      <w:bookmarkEnd w:id="75"/>
    </w:p>
    <w:p>
      <w:pPr>
        <w:pStyle w:val="Bibliography"/>
        <w:rPr/>
      </w:pPr>
      <w:bookmarkStart w:id="76" w:name="Xf27b1d5ff486e38d22d1aa97c51a774ae53bf89"/>
      <w:r>
        <w:rPr/>
        <w:t xml:space="preserve">---. </w:t>
      </w:r>
      <w:r>
        <w:rPr>
          <w:i/>
          <w:iCs/>
        </w:rPr>
        <w:t>Sociedades Americanas en 1828. Luces y virtudes sociales</w:t>
      </w:r>
      <w:r>
        <w:rPr/>
        <w:t>. Universidad Autónoma Metropolitana, 2018.</w:t>
      </w:r>
      <w:bookmarkEnd w:id="76"/>
    </w:p>
    <w:p>
      <w:pPr>
        <w:pStyle w:val="Bibliography"/>
        <w:rPr/>
      </w:pPr>
      <w:bookmarkStart w:id="77" w:name="ref-rotkerBravoPuebloPoder2005"/>
      <w:r>
        <w:rPr/>
        <w:t xml:space="preserve">Rotker, Susana. </w:t>
      </w:r>
      <w:r>
        <w:rPr>
          <w:i/>
          <w:iCs/>
        </w:rPr>
        <w:t>Bravo pueblo : poder, utopía y violencia</w:t>
      </w:r>
      <w:r>
        <w:rPr/>
        <w:t>. Fondo Editorial Nave Va, 2005.</w:t>
      </w:r>
      <w:bookmarkEnd w:id="77"/>
    </w:p>
    <w:p>
      <w:pPr>
        <w:pStyle w:val="Bibliography"/>
        <w:rPr/>
      </w:pPr>
      <w:bookmarkStart w:id="78" w:name="ref-rotkerNationMockeryOppositional1996"/>
      <w:r>
        <w:rPr/>
        <w:t xml:space="preserve">Rotker, Susana. «Nation and mockery: the oppositional writings of Simon Rodriguez». </w:t>
      </w:r>
      <w:r>
        <w:rPr>
          <w:i/>
          <w:iCs/>
        </w:rPr>
        <w:t>Modern Language Quarterly</w:t>
      </w:r>
      <w:r>
        <w:rPr/>
        <w:t xml:space="preserve">, Vol. 57, n.º 2, Jun. 1996, pp. 253-53. Gale Academic OneFile Select, </w:t>
      </w:r>
      <w:r>
        <w:rPr>
          <w:i/>
          <w:iCs/>
        </w:rPr>
        <w:t>Gale</w:t>
      </w:r>
      <w:r>
        <w:rPr/>
        <w:t xml:space="preserve">, </w:t>
      </w:r>
      <w:hyperlink r:id="rId17">
        <w:r>
          <w:rPr>
            <w:rStyle w:val="InternetLink"/>
          </w:rPr>
          <w:t>http://link.gale.com/apps/doc/A18579177/EAIM?u=nd_ref&amp;sid=zotero&amp;xid=ddea8d51</w:t>
        </w:r>
      </w:hyperlink>
      <w:r>
        <w:rPr/>
        <w:t>.</w:t>
      </w:r>
      <w:bookmarkEnd w:id="78"/>
    </w:p>
    <w:p>
      <w:pPr>
        <w:pStyle w:val="Bibliography"/>
        <w:rPr/>
      </w:pPr>
      <w:bookmarkStart w:id="79" w:name="ref-rousseauEmile"/>
      <w:r>
        <w:rPr/>
        <w:t xml:space="preserve">Rousseau, Jean-Jacques. </w:t>
      </w:r>
      <w:r>
        <w:rPr>
          <w:i/>
          <w:iCs/>
        </w:rPr>
        <w:t>Emile</w:t>
      </w:r>
      <w:r>
        <w:rPr/>
        <w:t xml:space="preserve">. </w:t>
      </w:r>
      <w:hyperlink r:id="rId18">
        <w:r>
          <w:rPr>
            <w:rStyle w:val="InternetLink"/>
          </w:rPr>
          <w:t>https://www.gutenberg.org/files/5427/5427-h/5427-h.htm</w:t>
        </w:r>
      </w:hyperlink>
      <w:r>
        <w:rPr/>
        <w:t>. Accedido 16 Ene. 2023.</w:t>
      </w:r>
      <w:bookmarkEnd w:id="79"/>
    </w:p>
    <w:p>
      <w:pPr>
        <w:pStyle w:val="Bibliography"/>
        <w:rPr/>
      </w:pPr>
      <w:bookmarkStart w:id="80"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9">
        <w:r>
          <w:rPr>
            <w:rStyle w:val="InternetLink"/>
          </w:rPr>
          <w:t>http://core.cambeiro.com.ar/0-170082-1.pdf</w:t>
        </w:r>
      </w:hyperlink>
      <w:r>
        <w:rPr/>
        <w:t>.</w:t>
      </w:r>
      <w:bookmarkEnd w:id="80"/>
    </w:p>
    <w:p>
      <w:pPr>
        <w:pStyle w:val="Bibliography"/>
        <w:rPr/>
      </w:pPr>
      <w:bookmarkStart w:id="81" w:name="Xe6fed8e939d0d04b675690c32b2a468aa120998"/>
      <w:r>
        <w:rPr/>
        <w:t xml:space="preserve">Rumazo González, Alfonso. «Estudio introductorio». </w:t>
      </w:r>
      <w:r>
        <w:rPr>
          <w:i/>
          <w:iCs/>
        </w:rPr>
        <w:t>Obras completas</w:t>
      </w:r>
      <w:r>
        <w:rPr/>
        <w:t>, de Simón Rodríguez, Vol. 1, Universidad Simón Rodríguez, 1975.</w:t>
      </w:r>
      <w:bookmarkEnd w:id="81"/>
    </w:p>
    <w:p>
      <w:pPr>
        <w:pStyle w:val="Bibliography"/>
        <w:rPr/>
      </w:pPr>
      <w:bookmarkStart w:id="82" w:name="X9e9e7cf04d1a2f74f2eb8fdc2f9a0ecce20c1ec"/>
      <w:r>
        <w:rPr/>
        <w:t xml:space="preserve">---. </w:t>
      </w:r>
      <w:r>
        <w:rPr>
          <w:i/>
          <w:iCs/>
        </w:rPr>
        <w:t>Simón Rodríguez, maestro de América</w:t>
      </w:r>
      <w:r>
        <w:rPr/>
        <w:t>. Ministerio de Comunicación e Información, 2006.</w:t>
      </w:r>
      <w:bookmarkEnd w:id="82"/>
    </w:p>
    <w:p>
      <w:pPr>
        <w:pStyle w:val="Bibliography"/>
        <w:rPr/>
      </w:pPr>
      <w:bookmarkStart w:id="83" w:name="ref-smithWealthNations1991"/>
      <w:r>
        <w:rPr/>
        <w:t xml:space="preserve">Smith, Adam. </w:t>
      </w:r>
      <w:r>
        <w:rPr>
          <w:i/>
          <w:iCs/>
        </w:rPr>
        <w:t>The wealth of nations</w:t>
      </w:r>
      <w:r>
        <w:rPr/>
        <w:t xml:space="preserve">. Knopf : Distributed by Random House, 1991, </w:t>
      </w:r>
      <w:hyperlink r:id="rId20">
        <w:r>
          <w:rPr>
            <w:rStyle w:val="InternetLink"/>
          </w:rPr>
          <w:t>http://catdir.loc.gov/catdir/enhancements/fy0703/91052981-s.html</w:t>
        </w:r>
      </w:hyperlink>
      <w:r>
        <w:rPr/>
        <w:t>.</w:t>
      </w:r>
      <w:bookmarkEnd w:id="83"/>
    </w:p>
    <w:p>
      <w:pPr>
        <w:pStyle w:val="Bibliography"/>
        <w:rPr/>
      </w:pPr>
      <w:bookmarkStart w:id="84" w:name="ref-stuartmillNature"/>
      <w:r>
        <w:rPr/>
        <w:t xml:space="preserve">Stuart Mill, John. </w:t>
      </w:r>
      <w:r>
        <w:rPr>
          <w:i/>
          <w:iCs/>
        </w:rPr>
        <w:t>On Nature</w:t>
      </w:r>
      <w:r>
        <w:rPr/>
        <w:t xml:space="preserve">. </w:t>
      </w:r>
      <w:hyperlink r:id="rId21">
        <w:r>
          <w:rPr>
            <w:rStyle w:val="InternetLink"/>
          </w:rPr>
          <w:t>https://www.lancaster.ac.uk/users/philosophy/texts/mill_on.htm</w:t>
        </w:r>
      </w:hyperlink>
      <w:r>
        <w:rPr/>
        <w:t>. Accedido 17 Ene. 2023.</w:t>
      </w:r>
      <w:bookmarkEnd w:id="84"/>
    </w:p>
    <w:p>
      <w:pPr>
        <w:pStyle w:val="Bibliography"/>
        <w:rPr/>
      </w:pPr>
      <w:bookmarkStart w:id="85" w:name="ref-treschRomanticMachineUtopian2012"/>
      <w:r>
        <w:rPr/>
        <w:t xml:space="preserve">Tresch, John. </w:t>
      </w:r>
      <w:r>
        <w:rPr>
          <w:i/>
          <w:iCs/>
        </w:rPr>
        <w:t>The romantic machine: utopian science and technology after Napoleon</w:t>
      </w:r>
      <w:r>
        <w:rPr/>
        <w:t>. University of Chicago Press, The University of Chicago Press, 2012.</w:t>
      </w:r>
      <w:bookmarkEnd w:id="85"/>
    </w:p>
    <w:p>
      <w:pPr>
        <w:pStyle w:val="Bibliography"/>
        <w:rPr/>
      </w:pPr>
      <w:bookmarkStart w:id="86" w:name="ref-ulloaJoseLezamaLima1998"/>
      <w:r>
        <w:rPr/>
        <w:t xml:space="preserve">Ulloa, Leonor A., y Justo C. Ulloa. «José Lezama Lima: configuración mítica de América». </w:t>
      </w:r>
      <w:r>
        <w:rPr>
          <w:i/>
          <w:iCs/>
        </w:rPr>
        <w:t>MLN</w:t>
      </w:r>
      <w:r>
        <w:rPr/>
        <w:t xml:space="preserve">, Vol. 113, n.º 2, 1998, pp. 364-79. </w:t>
      </w:r>
      <w:r>
        <w:rPr>
          <w:i/>
          <w:iCs/>
        </w:rPr>
        <w:t>JSTOR</w:t>
      </w:r>
      <w:r>
        <w:rPr/>
        <w:t xml:space="preserve">, </w:t>
      </w:r>
      <w:hyperlink r:id="rId22">
        <w:r>
          <w:rPr>
            <w:rStyle w:val="InternetLink"/>
          </w:rPr>
          <w:t>http://www.jstor.org/stable/3251480</w:t>
        </w:r>
      </w:hyperlink>
      <w:r>
        <w:rPr/>
        <w:t>.</w:t>
      </w:r>
      <w:bookmarkEnd w:id="86"/>
    </w:p>
    <w:p>
      <w:pPr>
        <w:pStyle w:val="Bibliography"/>
        <w:rPr/>
      </w:pPr>
      <w:bookmarkStart w:id="87"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3">
        <w:r>
          <w:rPr>
            <w:rStyle w:val="InternetLink"/>
          </w:rPr>
          <w:t>https://babel.hathitrust.org/cgi/pt?id=nyp.33433000048565&amp;view=1up&amp;seq=7&amp;skin=2021</w:t>
        </w:r>
      </w:hyperlink>
      <w:r>
        <w:rPr/>
        <w:t>.</w:t>
      </w:r>
      <w:bookmarkEnd w:id="87"/>
    </w:p>
    <w:p>
      <w:pPr>
        <w:pStyle w:val="Bibliography"/>
        <w:rPr/>
      </w:pPr>
      <w:bookmarkStart w:id="88" w:name="X7d6f9ea63e2d66bf260d46ad42bbe2c747978be"/>
      <w:r>
        <w:rPr/>
        <w:t xml:space="preserve">Uslar Pietri, Arturo. </w:t>
      </w:r>
      <w:r>
        <w:rPr>
          <w:i/>
          <w:iCs/>
        </w:rPr>
        <w:t>Letras y hombres de Venezuela.</w:t>
      </w:r>
      <w:r>
        <w:rPr/>
        <w:t xml:space="preserve"> Fondo de Cultura Economica, 1948.</w:t>
      </w:r>
      <w:bookmarkEnd w:id="88"/>
    </w:p>
    <w:p>
      <w:pPr>
        <w:pStyle w:val="Bibliography"/>
        <w:rPr/>
      </w:pPr>
      <w:bookmarkStart w:id="89" w:name="ref-uslarpietriPrologo1954"/>
      <w:r>
        <w:rPr/>
        <w:t xml:space="preserve">Úslar Pietri, Arturo. «Prólogo». </w:t>
      </w:r>
      <w:r>
        <w:rPr>
          <w:i/>
          <w:iCs/>
        </w:rPr>
        <w:t>Escritos</w:t>
      </w:r>
      <w:r>
        <w:rPr/>
        <w:t>, de Simón Rodríguez, Imprenta Nacional, 1954.</w:t>
      </w:r>
      <w:bookmarkEnd w:id="89"/>
    </w:p>
    <w:p>
      <w:pPr>
        <w:pStyle w:val="Bibliography"/>
        <w:rPr/>
      </w:pPr>
      <w:bookmarkStart w:id="90" w:name="ref-williamsCultureMaterialism2020"/>
      <w:r>
        <w:rPr/>
        <w:t xml:space="preserve">Williams, Raymond. </w:t>
      </w:r>
      <w:r>
        <w:rPr>
          <w:i/>
          <w:iCs/>
        </w:rPr>
        <w:t>Culture and materialism</w:t>
      </w:r>
      <w:r>
        <w:rPr/>
        <w:t>. Verso, 2020.</w:t>
      </w:r>
      <w:bookmarkEnd w:id="90"/>
    </w:p>
    <w:p>
      <w:pPr>
        <w:pStyle w:val="Bibliography"/>
        <w:spacing w:before="0" w:after="200"/>
        <w:rPr/>
      </w:pPr>
      <w:bookmarkStart w:id="91" w:name="ref-wollstonecraftVindicationRightsWoman"/>
      <w:r>
        <w:rPr/>
        <w:t xml:space="preserve">Wollstonecraft, Mary. </w:t>
      </w:r>
      <w:r>
        <w:rPr>
          <w:i/>
          <w:iCs/>
        </w:rPr>
        <w:t>A Vindication of the Rights of Woman – Ch 5</w:t>
      </w:r>
      <w:r>
        <w:rPr/>
        <w:t xml:space="preserve">. </w:t>
      </w:r>
      <w:hyperlink r:id="rId24">
        <w:r>
          <w:rPr>
            <w:rStyle w:val="InternetLink"/>
          </w:rPr>
          <w:t>https://www.marxists.org/reference/archive/wollstonecraft-mary/1792/vindication-rights-woman/ch05.htm</w:t>
        </w:r>
      </w:hyperlink>
      <w:r>
        <w:rPr/>
        <w:t>. Accedido 16 Ene. 2023.</w:t>
      </w:r>
      <w:bookmarkEnd w:id="18"/>
      <w:bookmarkEnd w:id="27"/>
      <w:bookmarkEnd w:id="28"/>
      <w:bookmarkEnd w:id="91"/>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5-09T20:09:58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ES"/>
        </w:rPr>
        <w:t>Definir bien lo de desencasillamiento: ¿es núcleo traumático, trascendencia vacía, excedente, obscenidad, resistencia... o carácter destructivo? Creo que sería sobre todo esto último, pero teniendo presente que está en tensión con un carácter al menos parcialmente edificante</w:t>
      </w:r>
    </w:p>
  </w:comment>
  <w:comment w:id="1" w:author="Unknown Author" w:date="2023-05-09T20:06:09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ES"/>
        </w:rPr>
        <w:t>Aquí introducir bien de qué va este capítulo: decir que a partir de esa cercanía con Bolívar se gestó un contrapunto en el corazón de la asimilación  impresa e iconográfica de su obra. Por un lado, Rodríguez se volvió una figura indispensable para elaborar el relato personalista y heroico de Bolívar</w:t>
      </w:r>
    </w:p>
  </w:comment>
  <w:comment w:id="2" w:author="Unknown Author" w:date="2023-05-09T19:42:0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ES"/>
        </w:rPr>
        <w:t>Proponer que lo que puede leerse a través de las distintas tentativas de asimilación de Rodríguez es distintas formas de negociar o capitalizar lo que su obra tiene de excesivo, de acuerdo a distintas necesidades que han operado en dos grandes momentos de la cultura impresa latinoamericana: un primer momento de construcción de nacionalidad (la del “relato eufórico del nacimiento de la nacionalidad”); un segundo momento, que fue el de la formación del campo latinoamericanista; y un tercer momento, donde de alguna forma quedó huérfano porque no lo rescataron ni los decoloniales ni los infrapolíticos</w:t>
      </w:r>
    </w:p>
  </w:comment>
  <w:comment w:id="3" w:author="Unknown Author" w:date="2023-05-09T19:27:12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ES"/>
        </w:rPr>
        <w:t>Insertar el mural de Rodríguez Cárdenas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Explicación de la diferencia entre anomalía y anomal según Deleuze y Guattari</w:t>
      </w:r>
    </w:p>
  </w:footnote>
  <w:footnote w:id="4">
    <w:p>
      <w:pPr>
        <w:pStyle w:val="Footnote"/>
        <w:spacing w:before="0" w:after="200"/>
        <w:rPr/>
      </w:pPr>
      <w:r>
        <w:rPr>
          <w:rStyle w:val="FootnoteCharacters"/>
        </w:rPr>
        <w:footnoteRef/>
      </w:r>
      <w:r>
        <w:rPr/>
        <w:t xml:space="preserve">  </w:t>
      </w:r>
      <w:r>
        <w:rPr/>
        <w:t>sobre la definición que hace de su (anti)metodología como compota-salpicón, inspirado en el “ajiaco” de Fernando Ortiz</w:t>
      </w:r>
    </w:p>
  </w:footnote>
  <w:footnote w:id="5">
    <w:p>
      <w:pPr>
        <w:pStyle w:val="Footnote"/>
        <w:spacing w:before="0" w:after="200"/>
        <w:rPr/>
      </w:pPr>
      <w:r>
        <w:rPr>
          <w:rStyle w:val="FootnoteCharacters"/>
        </w:rPr>
        <w:footnoteRef/>
      </w:r>
      <w:r>
        <w:rPr/>
        <w:t xml:space="preserve"> </w:t>
      </w:r>
      <w:r>
        <w:rPr/>
        <w:t>Explicación de que uso “narrador” en el sentido benjaminiano, como una figura ligada a la experiencia, que tiende a desaparecer ante el paradigma homogenizador de la información, impuesto por las relaciones de reproducción mecánica, y anuncio de que volveré sobre estas ideas en el próximo capítulo</w:t>
      </w:r>
    </w:p>
  </w:footnote>
  <w:footnote w:id="6">
    <w:p>
      <w:pPr>
        <w:pStyle w:val="Footnote"/>
        <w:spacing w:before="0" w:after="200"/>
        <w:rPr/>
      </w:pPr>
      <w:r>
        <w:rPr>
          <w:rStyle w:val="FootnoteCharacters"/>
        </w:rPr>
        <w:footnoteRef/>
      </w:r>
      <w:r>
        <w:rPr/>
        <w:t xml:space="preserve">  </w:t>
      </w:r>
      <w:r>
        <w:rPr/>
        <w:t>referencias a las discusiones historiográficas sobre esto</w:t>
      </w:r>
    </w:p>
  </w:footnote>
  <w:footnote w:id="7">
    <w:p>
      <w:pPr>
        <w:pStyle w:val="Footnote"/>
        <w:spacing w:before="0" w:after="200"/>
        <w:rPr/>
      </w:pPr>
      <w:r>
        <w:rPr>
          <w:rStyle w:val="FootnoteCharacters"/>
        </w:rPr>
        <w:footnoteRef/>
      </w:r>
      <w:r>
        <w:rPr/>
        <w:t xml:space="preserve"> </w:t>
      </w:r>
      <w:r>
        <w:rPr/>
        <w:t>menciono algunos índices de la celebridad de Bolívar, como las litografías, el “sombrero Bolívar”, la admiración de Lord Byron, y los dos oficiales de la Guerra Civil norteamericana que se llamaron “Simón Bolívar”</w:t>
      </w:r>
    </w:p>
  </w:footnote>
  <w:footnote w:id="8">
    <w:p>
      <w:pPr>
        <w:pStyle w:val="Footnote"/>
        <w:spacing w:before="0" w:after="200"/>
        <w:rPr/>
      </w:pPr>
      <w:r>
        <w:rPr>
          <w:rStyle w:val="FootnoteCharacters"/>
        </w:rPr>
        <w:footnoteRef/>
      </w:r>
      <w:r>
        <w:rPr/>
        <w:t xml:space="preserve"> </w:t>
      </w:r>
      <w:r>
        <w:rPr/>
        <w:t>Ejemplos</w:t>
      </w:r>
    </w:p>
  </w:footnote>
  <w:footnote w:id="9">
    <w:p>
      <w:pPr>
        <w:pStyle w:val="Footnote"/>
        <w:spacing w:before="0" w:after="200"/>
        <w:rPr/>
      </w:pPr>
      <w:r>
        <w:rPr>
          <w:rStyle w:val="FootnoteCharacters"/>
        </w:rPr>
        <w:footnoteRef/>
      </w:r>
      <w:r>
        <w:rPr/>
        <w:t xml:space="preserve">  </w:t>
      </w:r>
      <w:r>
        <w:rPr/>
        <w:t>cuáles</w:t>
      </w:r>
    </w:p>
  </w:footnote>
  <w:footnote w:id="10">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11">
    <w:p>
      <w:pPr>
        <w:pStyle w:val="Footnote"/>
        <w:spacing w:before="0" w:after="200"/>
        <w:rPr/>
      </w:pPr>
      <w:r>
        <w:rPr>
          <w:rStyle w:val="FootnoteCharacters"/>
        </w:rPr>
        <w:footnoteRef/>
      </w:r>
      <w:r>
        <w:rPr/>
        <w:t xml:space="preserve"> </w:t>
      </w:r>
      <w:r>
        <w:rPr/>
        <w:t>nota: referencia específica adonde enumero estos decretos en el próximo capítulo</w:t>
      </w:r>
    </w:p>
  </w:footnote>
  <w:footnote w:id="12">
    <w:p>
      <w:pPr>
        <w:pStyle w:val="Footnote"/>
        <w:spacing w:before="0" w:after="200"/>
        <w:rPr/>
      </w:pPr>
      <w:r>
        <w:rPr>
          <w:rStyle w:val="FootnoteCharacters"/>
        </w:rPr>
        <w:footnoteRef/>
      </w:r>
      <w:r>
        <w:rPr/>
        <w:t xml:space="preserve">  </w:t>
      </w:r>
      <w:r>
        <w:rPr/>
        <w:t>me refiero a todos los críticos que han señalado esto</w:t>
      </w:r>
    </w:p>
  </w:footnote>
  <w:footnote w:id="13">
    <w:p>
      <w:pPr>
        <w:pStyle w:val="Footnote"/>
        <w:spacing w:before="0" w:after="200"/>
        <w:rPr/>
      </w:pPr>
      <w:r>
        <w:rPr>
          <w:rStyle w:val="FootnoteCharacters"/>
        </w:rPr>
        <w:footnoteRef/>
      </w:r>
      <w:r>
        <w:rPr/>
        <w:t xml:space="preserve">  </w:t>
      </w:r>
      <w:r>
        <w:rPr/>
        <w:t>menciono aquí varias de ellas</w:t>
      </w:r>
    </w:p>
  </w:footnote>
  <w:footnote w:id="14">
    <w:p>
      <w:pPr>
        <w:pStyle w:val="Footnote"/>
        <w:spacing w:before="0" w:after="200"/>
        <w:rPr/>
      </w:pPr>
      <w:r>
        <w:rPr>
          <w:rStyle w:val="FootnoteCharacters"/>
        </w:rPr>
        <w:footnoteRef/>
      </w:r>
      <w:r>
        <w:rPr/>
        <w:t xml:space="preserve">  </w:t>
      </w:r>
      <w:r>
        <w:rPr/>
        <w:t>aquí las enumero</w:t>
      </w:r>
    </w:p>
  </w:footnote>
  <w:footnote w:id="15">
    <w:p>
      <w:pPr>
        <w:pStyle w:val="Footnote"/>
        <w:spacing w:before="0" w:after="200"/>
        <w:rPr/>
      </w:pPr>
      <w:r>
        <w:rPr>
          <w:rStyle w:val="FootnoteCharacters"/>
        </w:rPr>
        <w:footnoteRef/>
      </w:r>
      <w:r>
        <w:rPr/>
        <w:t xml:space="preserve">  </w:t>
      </w:r>
      <w:r>
        <w:rPr/>
        <w:t>Sobre el humor de Rodríguez ver Susana Rotker y Susana Rotker</w:t>
      </w:r>
    </w:p>
  </w:footnote>
  <w:footnote w:id="16">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7">
    <w:p>
      <w:pPr>
        <w:pStyle w:val="Footnote"/>
        <w:spacing w:before="0" w:after="200"/>
        <w:rPr/>
      </w:pPr>
      <w:r>
        <w:rPr>
          <w:rStyle w:val="FootnoteCharacters"/>
        </w:rPr>
        <w:footnoteRef/>
      </w:r>
      <w:r>
        <w:rPr/>
        <w:t xml:space="preserve">  </w:t>
      </w:r>
      <w:r>
        <w:rPr/>
        <w:t>menciono aquí los textos de Mitre, Amunátegui y Lastarria</w:t>
      </w:r>
    </w:p>
  </w:footnote>
  <w:footnote w:id="18">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9">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20">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21">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22">
    <w:p>
      <w:pPr>
        <w:pStyle w:val="Footnote"/>
        <w:spacing w:before="0" w:after="200"/>
        <w:rPr/>
      </w:pPr>
      <w:r>
        <w:rPr>
          <w:rStyle w:val="FootnoteCharacters"/>
        </w:rPr>
        <w:footnoteRef/>
      </w:r>
      <w:r>
        <w:rPr/>
        <w:t xml:space="preserve">  </w:t>
      </w:r>
      <w:r>
        <w:rPr/>
        <w:t>los enumero</w:t>
      </w:r>
    </w:p>
  </w:footnote>
  <w:footnote w:id="23">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expone detalladamente la naturaleza mítica de esta equivalencia </w:t>
      </w:r>
    </w:p>
  </w:footnote>
  <w:footnote w:id="24">
    <w:p>
      <w:pPr>
        <w:pStyle w:val="Footnote"/>
        <w:spacing w:before="0" w:after="200"/>
        <w:rPr/>
      </w:pPr>
      <w:r>
        <w:rPr>
          <w:rStyle w:val="FootnoteCharacters"/>
        </w:rPr>
        <w:footnoteRef/>
      </w:r>
      <w:r>
        <w:rPr/>
        <w:t xml:space="preserve">  “</w:t>
      </w:r>
      <w:r>
        <w:rPr/>
        <w:t>moutons y paissaient une mousse rase émaillée de quelques brins d’herbe”</w:t>
      </w:r>
    </w:p>
  </w:footnote>
  <w:footnote w:id="25">
    <w:p>
      <w:pPr>
        <w:pStyle w:val="Footnote"/>
        <w:spacing w:before="0" w:after="200"/>
        <w:rPr/>
      </w:pPr>
      <w:r>
        <w:rPr>
          <w:rStyle w:val="FootnoteCharacters"/>
        </w:rPr>
        <w:footnoteRef/>
      </w:r>
      <w:r>
        <w:rPr/>
        <w:t xml:space="preserve">  “</w:t>
      </w:r>
      <w:r>
        <w:rPr/>
        <w:t>un ramassis de maisons quelconques situées au pied d’un morne”</w:t>
      </w:r>
    </w:p>
  </w:footnote>
  <w:footnote w:id="26">
    <w:p>
      <w:pPr>
        <w:pStyle w:val="Footnote"/>
        <w:spacing w:before="0" w:after="200"/>
        <w:rPr/>
      </w:pPr>
      <w:r>
        <w:rPr>
          <w:rStyle w:val="FootnoteCharacters"/>
        </w:rPr>
        <w:footnoteRef/>
      </w:r>
      <w:r>
        <w:rPr/>
        <w:t xml:space="preserve">  </w:t>
      </w:r>
      <w:r>
        <w:rPr/>
        <w:t>original</w:t>
      </w:r>
    </w:p>
  </w:footnote>
  <w:footnote w:id="27">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8">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9">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30">
    <w:p>
      <w:pPr>
        <w:pStyle w:val="Footnote"/>
        <w:spacing w:before="0" w:after="200"/>
        <w:rPr/>
      </w:pPr>
      <w:r>
        <w:rPr>
          <w:rStyle w:val="FootnoteCharacters"/>
        </w:rPr>
        <w:footnoteRef/>
      </w:r>
      <w:r>
        <w:rPr/>
        <w:t xml:space="preserve">  </w:t>
      </w:r>
      <w:r>
        <w:rPr/>
        <w:t>mencionar excepción en Rafael Mondragón</w:t>
      </w:r>
    </w:p>
  </w:footnote>
  <w:footnote w:id="31">
    <w:p>
      <w:pPr>
        <w:pStyle w:val="Footnote"/>
        <w:spacing w:before="0" w:after="200"/>
        <w:rPr/>
      </w:pPr>
      <w:r>
        <w:rPr>
          <w:rStyle w:val="FootnoteCharacters"/>
        </w:rPr>
        <w:footnoteRef/>
      </w:r>
      <w:r>
        <w:rPr/>
        <w:t xml:space="preserve">  </w:t>
      </w:r>
      <w:r>
        <w:rPr/>
        <w:t>traducción</w:t>
      </w:r>
    </w:p>
  </w:footnote>
  <w:footnote w:id="32">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33">
    <w:p>
      <w:pPr>
        <w:pStyle w:val="Footnote"/>
        <w:spacing w:before="0" w:after="200"/>
        <w:rPr/>
      </w:pPr>
      <w:r>
        <w:rPr>
          <w:rStyle w:val="FootnoteCharacters"/>
        </w:rPr>
        <w:footnoteRef/>
      </w:r>
      <w:r>
        <w:rPr/>
        <w:t xml:space="preserve">  </w:t>
      </w:r>
      <w:r>
        <w:rPr/>
        <w:t>algunos ejemplos y referencia a Amunátegui y las cartas</w:t>
      </w:r>
    </w:p>
  </w:footnote>
  <w:footnote w:id="34">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5">
    <w:p>
      <w:pPr>
        <w:pStyle w:val="Footnote"/>
        <w:spacing w:before="0" w:after="200"/>
        <w:rPr/>
      </w:pPr>
      <w:r>
        <w:rPr>
          <w:rStyle w:val="FootnoteCharacters"/>
        </w:rPr>
        <w:footnoteRef/>
      </w:r>
      <w:r>
        <w:rPr/>
        <w:t xml:space="preserve">  </w:t>
      </w:r>
      <w:r>
        <w:rPr/>
        <w:t>quienes hacen estas analogías</w:t>
      </w:r>
    </w:p>
  </w:footnote>
  <w:footnote w:id="36">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7">
    <w:p>
      <w:pPr>
        <w:pStyle w:val="Footnote"/>
        <w:spacing w:before="0" w:after="200"/>
        <w:rPr/>
      </w:pPr>
      <w:r>
        <w:rPr>
          <w:rStyle w:val="FootnoteCharacters"/>
        </w:rPr>
        <w:footnoteRef/>
      </w:r>
      <w:r>
        <w:rPr/>
        <w:t xml:space="preserve">  </w:t>
      </w:r>
      <w:r>
        <w:rPr/>
        <w:t>referir las acciones que analiza Camnitzer</w:t>
      </w:r>
    </w:p>
  </w:footnote>
  <w:footnote w:id="38">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9">
    <w:p>
      <w:pPr>
        <w:pStyle w:val="Footnote"/>
        <w:spacing w:before="0" w:after="200"/>
        <w:rPr/>
      </w:pPr>
      <w:r>
        <w:rPr>
          <w:rStyle w:val="FootnoteCharacters"/>
        </w:rPr>
        <w:footnoteRef/>
      </w:r>
      <w:r>
        <w:rPr/>
        <w:t xml:space="preserve">  </w:t>
      </w:r>
      <w:r>
        <w:rPr/>
        <w:t>Caresiani, Rama, Ramos, Sarlo</w:t>
      </w:r>
    </w:p>
  </w:footnote>
  <w:footnote w:id="40">
    <w:p>
      <w:pPr>
        <w:pStyle w:val="Footnote"/>
        <w:spacing w:before="0" w:after="200"/>
        <w:rPr/>
      </w:pPr>
      <w:r>
        <w:rPr>
          <w:rStyle w:val="FootnoteCharacters"/>
        </w:rPr>
        <w:footnoteRef/>
      </w:r>
      <w:r>
        <w:rPr/>
        <w:t xml:space="preserve">  </w:t>
      </w:r>
      <w:r>
        <w:rPr/>
        <w:t>lista de algunos de estos autores</w:t>
      </w:r>
    </w:p>
  </w:footnote>
  <w:footnote w:id="41">
    <w:p>
      <w:pPr>
        <w:pStyle w:val="Footnote"/>
        <w:spacing w:before="0" w:after="200"/>
        <w:rPr/>
      </w:pPr>
      <w:r>
        <w:rPr>
          <w:rStyle w:val="FootnoteCharacters"/>
        </w:rPr>
        <w:footnoteRef/>
      </w:r>
      <w:r>
        <w:rPr/>
        <w:t xml:space="preserve">  </w:t>
      </w:r>
      <w:r>
        <w:rPr/>
        <w:t>cuándo lo haré; creo que en el tercer y cuarto capítulo</w:t>
      </w:r>
    </w:p>
  </w:footnote>
  <w:footnote w:id="42">
    <w:p>
      <w:pPr>
        <w:pStyle w:val="Footnote"/>
        <w:spacing w:before="0" w:after="200"/>
        <w:rPr/>
      </w:pPr>
      <w:r>
        <w:rPr>
          <w:rStyle w:val="FootnoteCharacters"/>
        </w:rPr>
        <w:footnoteRef/>
      </w:r>
      <w:r>
        <w:rPr/>
        <w:t xml:space="preserve">  </w:t>
      </w:r>
      <w:r>
        <w:rPr/>
        <w:t>referencia a Berman, Ramos, Eagleton, Husseyn, Calinescu</w:t>
      </w:r>
    </w:p>
  </w:footnote>
  <w:footnote w:id="43">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4">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5">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6">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E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s-E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s-E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books.openedition.org/ariadnaediciones/1568" TargetMode="External"/><Relationship Id="rId12" Type="http://schemas.openxmlformats.org/officeDocument/2006/relationships/hyperlink" Target="https://gallica.bnf.fr/ark:/12148/bpt6k344072" TargetMode="External"/><Relationship Id="rId13" Type="http://schemas.openxmlformats.org/officeDocument/2006/relationships/hyperlink" Target="https://fh.mdp.edu.ar/revistas/index.php/etl/article/download/3715/3725" TargetMode="External"/><Relationship Id="rId14" Type="http://schemas.openxmlformats.org/officeDocument/2006/relationships/hyperlink" Target="http://www.jstor.org/stable/44078706" TargetMode="External"/><Relationship Id="rId15" Type="http://schemas.openxmlformats.org/officeDocument/2006/relationships/hyperlink" Target="https://www.rae.es/dpd/exot&#233;rica" TargetMode="External"/><Relationship Id="rId16" Type="http://schemas.openxmlformats.org/officeDocument/2006/relationships/hyperlink" Target="https://bibliofep.fundacionempresaspolar.org/dhv/entradas/r/rodriguez-simon/" TargetMode="External"/><Relationship Id="rId17" Type="http://schemas.openxmlformats.org/officeDocument/2006/relationships/hyperlink" Target="http://link.gale.com/apps/doc/A18579177/EAIM?u=nd_ref&amp;sid=zotero&amp;xid=ddea8d51" TargetMode="External"/><Relationship Id="rId18" Type="http://schemas.openxmlformats.org/officeDocument/2006/relationships/hyperlink" Target="https://www.gutenberg.org/files/5427/5427-h/5427-h.htm" TargetMode="External"/><Relationship Id="rId19" Type="http://schemas.openxmlformats.org/officeDocument/2006/relationships/hyperlink" Target="http://core.cambeiro.com.ar/0-170082-1.pdf" TargetMode="External"/><Relationship Id="rId20" Type="http://schemas.openxmlformats.org/officeDocument/2006/relationships/hyperlink" Target="http://catdir.loc.gov/catdir/enhancements/fy0703/91052981-s.html" TargetMode="External"/><Relationship Id="rId21" Type="http://schemas.openxmlformats.org/officeDocument/2006/relationships/hyperlink" Target="https://www.lancaster.ac.uk/users/philosophy/texts/mill_on.htm" TargetMode="External"/><Relationship Id="rId22" Type="http://schemas.openxmlformats.org/officeDocument/2006/relationships/hyperlink" Target="http://www.jstor.org/stable/3251480" TargetMode="External"/><Relationship Id="rId23" Type="http://schemas.openxmlformats.org/officeDocument/2006/relationships/hyperlink" Target="https://babel.hathitrust.org/cgi/pt?id=nyp.33433000048565&amp;view=1up&amp;seq=7&amp;skin=2021" TargetMode="External"/><Relationship Id="rId24" Type="http://schemas.openxmlformats.org/officeDocument/2006/relationships/hyperlink" Target="https://www.marxists.org/reference/archive/wollstonecraft-mary/1792/vindication-rights-woman/ch05.htm" TargetMode="External"/><Relationship Id="rId25" Type="http://schemas.openxmlformats.org/officeDocument/2006/relationships/footnotes" Target="footnotes.xml"/><Relationship Id="rId26" Type="http://schemas.openxmlformats.org/officeDocument/2006/relationships/comments" Target="comments.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LibreOffice/7.4.6.2$Linux_X86_64 LibreOffice_project/40$Build-2</Application>
  <AppVersion>15.0000</AppVersion>
  <Pages>49</Pages>
  <Words>19685</Words>
  <Characters>104842</Characters>
  <CharactersWithSpaces>124310</CharactersWithSpaces>
  <Paragraphs>273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2023-03-13T19:26:43Z</dcterms:created>
  <dc:creator/>
  <dc:description/>
  <dc:language>es</dc:language>
  <cp:lastModifiedBy/>
  <dcterms:modified xsi:type="dcterms:W3CDTF">2023-05-09T20:15:29Z</dcterms:modified>
  <cp:revision>9</cp:revision>
  <dc:subject/>
  <dc:title>Arte de orinales fuera de lugar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