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z5a6hployztn" w:id="0"/>
      <w:bookmarkEnd w:id="0"/>
      <w:r w:rsidDel="00000000" w:rsidR="00000000" w:rsidRPr="00000000">
        <w:rPr>
          <w:rtl w:val="0"/>
        </w:rPr>
        <w:t xml:space="preserve">Trabalho de implementação 2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/>
      </w:pPr>
      <w:bookmarkStart w:colFirst="0" w:colLast="0" w:name="_ks6t9u4ndq70" w:id="1"/>
      <w:bookmarkEnd w:id="1"/>
      <w:r w:rsidDel="00000000" w:rsidR="00000000" w:rsidRPr="00000000">
        <w:rPr>
          <w:rtl w:val="0"/>
        </w:rPr>
        <w:t xml:space="preserve">Resolvedor de Suguru em LISP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Isac de Souza Campos (17200449)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Felipe de Campos Santos (17200441)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sdn7tv8xduyx" w:id="2"/>
      <w:bookmarkEnd w:id="2"/>
      <w:r w:rsidDel="00000000" w:rsidR="00000000" w:rsidRPr="00000000">
        <w:rPr>
          <w:rtl w:val="0"/>
        </w:rPr>
        <w:t xml:space="preserve">O Problema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Neste segundo trabalho, o objetivo era refazer o algoritmo feito para resolver o Suguru em uma outra linguagem funcional. Optamos por LISP, por já estar usando esta na matéria e poder continuar desenvolvendo e praticando a mesma em paralelo com as atividades a serem entregues. Para isso, aproveitamos do algoritmo do Isac em Haskell e “traduzimos” ele para LISP, fazendo as alterações necessárias durante o caminho.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uilosrqki4qz" w:id="3"/>
      <w:bookmarkEnd w:id="3"/>
      <w:r w:rsidDel="00000000" w:rsidR="00000000" w:rsidRPr="00000000">
        <w:rPr>
          <w:rtl w:val="0"/>
        </w:rPr>
        <w:t xml:space="preserve">As Entradas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Nossa modelagem de dados é representada por duas listas primariamente, aqui chamadas de “table design” e “table”, representando, respectivamente, as áreas do tabuleiro e os valores do tabuleiro.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 lista table design mostra as áreas separando elas por números, ou seja, todas as células que tem o número 1 fazem parte da área 1, todas as com número 2 fazem parte da área 2, e assim respectivamente.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Já a lista table traz, para cada célula, seu valor inicial. Aquelas que inicialmente estariam vazias são preenchidas com -1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 tabuleiro usado no código, retirado do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Janko</w:t>
        </w:r>
      </w:hyperlink>
      <w:r w:rsidDel="00000000" w:rsidR="00000000" w:rsidRPr="00000000">
        <w:rPr>
          <w:rtl w:val="0"/>
        </w:rPr>
        <w:t xml:space="preserve">, é mostrado abaixo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4575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setq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table_design '(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 )</w:t>
              <w:br w:type="textWrapping"/>
              <w:t xml:space="preserve">)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setq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table '(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)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Para alterar a entrada, deve se alterar essas duas definições no código da maneira adequada.</w:t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qiy147xbqms8" w:id="4"/>
      <w:bookmarkEnd w:id="4"/>
      <w:r w:rsidDel="00000000" w:rsidR="00000000" w:rsidRPr="00000000">
        <w:rPr>
          <w:rtl w:val="0"/>
        </w:rPr>
        <w:t xml:space="preserve">O Programa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O grande mantenedor desse programa é a função </w:t>
      </w:r>
      <w:r w:rsidDel="00000000" w:rsidR="00000000" w:rsidRPr="00000000">
        <w:rPr>
          <w:i w:val="1"/>
          <w:rtl w:val="0"/>
        </w:rPr>
        <w:t xml:space="preserve">checkValidation</w:t>
      </w:r>
      <w:r w:rsidDel="00000000" w:rsidR="00000000" w:rsidRPr="00000000">
        <w:rPr>
          <w:rtl w:val="0"/>
        </w:rPr>
        <w:t xml:space="preserve">, que faz uma varredura das células utilizando as tabelas acima como suporte e fazendo a “limpeza” dos arredores das células e também da área que elas se encontram, chamando as funções </w:t>
      </w:r>
      <w:r w:rsidDel="00000000" w:rsidR="00000000" w:rsidRPr="00000000">
        <w:rPr>
          <w:i w:val="1"/>
          <w:rtl w:val="0"/>
        </w:rPr>
        <w:t xml:space="preserve">isNeighborhoodClean, getBoxPositions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isBoxClean</w:t>
      </w:r>
      <w:r w:rsidDel="00000000" w:rsidR="00000000" w:rsidRPr="00000000">
        <w:rPr>
          <w:rtl w:val="0"/>
        </w:rPr>
        <w:t xml:space="preserve">para isso, até que seja terminada essa varredura.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defun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checkValidation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f_table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updt_table n box_n v vf)</w:t>
              <w:br w:type="textWrapping"/>
              <w:t xml:space="preserve">   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f_table)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make-tuple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:x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NIL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:y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NIL)</w:t>
              <w:br w:type="textWrapping"/>
              <w:t xml:space="preserve">       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progn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setq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neighborhoodClean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isNeighborhoodClean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updt_table n v) )</w:t>
              <w:br w:type="textWrapping"/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setq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boxPositions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getBoxPositions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box_n boxes_positions))</w:t>
              <w:br w:type="textWrapping"/>
              <w:t xml:space="preserve">           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setq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boxClean 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isBoxClean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updt_table boxPositions v))</w:t>
              <w:br w:type="textWrapping"/>
              <w:t xml:space="preserve">(...)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Em comparação com Haskell, Lisp é mais intuitivo na maneira de fazer operações, apesar da sintaxe guiada pelos parenteses ser bem desprazerosa de se trabalhar. Muitas vezes a própria IDE deletava um parentes adicional quando nós deletávamos um outro parenteses, asism impedindo que fosse compilado e muitas vezes não apontando o erro nem perto de onde ele realmente tinha acontecido.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Outro problema que encontramos foi a falta de um list comprehension em LISP como existe em Haskell, mas para isso foi criada uma função auxiliar que recebe os elementos da lista a ser varrida e executa as operações de forma similar à o list comprehension. Também foi necessária a criação de uma estrutura que definisse uma tupla, dado que a criação de listas ou tuplas vazias em LISP retorna NIL, e não uma estrutura vazia.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;;type tuple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hd w:fill="282c34" w:val="clear"/>
                <w:rtl w:val="0"/>
              </w:rPr>
              <w:t xml:space="preserve">defstruct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tuple</w:t>
              <w:br w:type="textWrapping"/>
              <w:t xml:space="preserve">    x</w:t>
              <w:br w:type="textWrapping"/>
              <w:t xml:space="preserve">    y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65rw2e4euuwj" w:id="5"/>
      <w:bookmarkEnd w:id="5"/>
      <w:r w:rsidDel="00000000" w:rsidR="00000000" w:rsidRPr="00000000">
        <w:rPr>
          <w:rtl w:val="0"/>
        </w:rPr>
        <w:t xml:space="preserve">O Resultado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Com tudo isso, foi possível fazer a tradução completa do programa para LISP. Ao executar o arquivo main pelo terminal, obtemos o seguinte resultado:</w:t>
      </w:r>
      <w:r w:rsidDel="00000000" w:rsidR="00000000" w:rsidRPr="00000000">
        <w:rPr/>
        <w:drawing>
          <wp:inline distB="114300" distT="114300" distL="114300" distR="114300">
            <wp:extent cx="5048250" cy="4105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E, comparando com o resultado dado pelo próprio site, confirmamo a validez do programa:</w:t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3625" cy="232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g8blr1elxnoc" w:id="6"/>
      <w:bookmarkEnd w:id="6"/>
      <w:r w:rsidDel="00000000" w:rsidR="00000000" w:rsidRPr="00000000">
        <w:rPr>
          <w:rtl w:val="0"/>
        </w:rPr>
        <w:t xml:space="preserve">Sobre o grupo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Na entrega anterior, o Isac havia feito o trabalho sozinho e o Felipe havia feito em um grupo no qual ele não sentiu pro-atividade e organização, por isso nessa segunda entrega decidimos nos juntar. Nossa comunicação foi bem fluida, e ambos foram pro-ativos para fazer o que precisava ser feito no momento, sem a necessidade de ficar separando passo a passo o que cada um faria ou ter uma cobrança.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O vídeo da apresentação pode ser acessado por esse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tVOyEMoB6P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janko.at/Raetsel/Suguru/011.a.ht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