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992.1259842519685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6904949" cy="31690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833" l="5370" r="3247" t="22122"/>
                    <a:stretch>
                      <a:fillRect/>
                    </a:stretch>
                  </pic:blipFill>
                  <pic:spPr>
                    <a:xfrm>
                      <a:off x="0" y="0"/>
                      <a:ext cx="6904949" cy="316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Sim. Não existe relação direta da tabela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pra tabela </w:t>
      </w:r>
      <w:r w:rsidDel="00000000" w:rsidR="00000000" w:rsidRPr="00000000">
        <w:rPr>
          <w:i w:val="1"/>
          <w:rtl w:val="0"/>
        </w:rPr>
        <w:t xml:space="preserve">Contas_Cliente </w:t>
      </w:r>
      <w:r w:rsidDel="00000000" w:rsidR="00000000" w:rsidRPr="00000000">
        <w:rPr>
          <w:rtl w:val="0"/>
        </w:rPr>
        <w:t xml:space="preserve">(veja que o oposto sim, já que a coluna “codCliente” é chave estrangeira para a tabela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Não, um cliente pode ter de 0 a n contas, já que não existe limitação de repetição de codCliente na tabela </w:t>
      </w:r>
      <w:r w:rsidDel="00000000" w:rsidR="00000000" w:rsidRPr="00000000">
        <w:rPr>
          <w:i w:val="1"/>
          <w:rtl w:val="0"/>
        </w:rPr>
        <w:t xml:space="preserve">Contas_Cliente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Contas_Cliente, pois é a única que tem chaves estrangeiras de outras tabelas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SGDB deve impedir que a tupla seja apagada, pois existem tuplas em outras tabelas que referenciam a conta com numTipo 1.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create table Contas_Cliente(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num_Conta Integer NOT NULL,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codCliente Integer NOT NULL,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num_Tipo Integer NOT NULL,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saldo Float,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PRIMARY KEY (numConta, codCliente),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FOREIGN KEY (codCliente) REFERENCES Cliente (codCliente) ON DELETE RESTRICT,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FOREIGN KEY (numTipo) REFERENCES Tipos_Conta (numTipo) ON DELETE RESTRICT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SGBD vai impedir a inserção, com um erro de que o dado ‘B’ não é do tipo INT (restrição de dominio)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SGBD não deve deixar ele alterar, pois o numTipo é chave estrangeira em Contas_Cliente.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CREATE TABLE Contas_Cliente (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numConta serial,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codCliente serial,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numTipo serial,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saldo integer,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PRIMARY KEY (numConta, codCliente),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FOREIGN KEY (codCliente) REFERENCES Cliente (codCliente) ON DELETE RESTRICT, ON UPDATE RESTRICT,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FOREIGN KEY (numTipo) REFERENCES Tipo_Conta (numTipo) ON DELETE RESTRICT ON UPDATE RESTRICT,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Nao permitir alterar, pois é chave primária.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CREATE TABLE Contas_Cliente (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numConta serial,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codCliente serial,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numTipo serial,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saldo integer,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PRIMARY KEY (numConta, codCliente),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 (codCliente) REFERENCES Cliente (codCliente) ON DELETE RESTRICT ON UPDATE RESTRICT,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FOREIGN KEY (numTipo) REFERENCES Tipo_Conta (numTipo) ON DELETE RESTRICT ON UPDATE RESTRICT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