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D2202" w:rsidRDefault="00C541BC">
      <w:pPr>
        <w:pStyle w:val="Title"/>
        <w:jc w:val="center"/>
      </w:pPr>
      <w:bookmarkStart w:id="0" w:name="_ur1t5b8jurj2" w:colFirst="0" w:colLast="0"/>
      <w:bookmarkEnd w:id="0"/>
      <w:proofErr w:type="spellStart"/>
      <w:r>
        <w:t>EFiling</w:t>
      </w:r>
      <w:proofErr w:type="spellEnd"/>
      <w:r>
        <w:t xml:space="preserve"> Check-In - Oct 07, 2021</w:t>
      </w:r>
    </w:p>
    <w:p w14:paraId="00000002" w14:textId="77777777" w:rsidR="000D2202" w:rsidRDefault="00C541BC">
      <w:pPr>
        <w:pStyle w:val="Heading1"/>
      </w:pPr>
      <w:bookmarkStart w:id="1" w:name="_yvo46spleamx" w:colFirst="0" w:colLast="0"/>
      <w:bookmarkEnd w:id="1"/>
      <w:r>
        <w:t>Attendees:</w:t>
      </w:r>
    </w:p>
    <w:p w14:paraId="00000003" w14:textId="77777777" w:rsidR="000D2202" w:rsidRDefault="00C541BC">
      <w:pPr>
        <w:numPr>
          <w:ilvl w:val="0"/>
          <w:numId w:val="1"/>
        </w:numPr>
      </w:pPr>
      <w:r>
        <w:t>Wei Luo</w:t>
      </w:r>
    </w:p>
    <w:p w14:paraId="00000004" w14:textId="77777777" w:rsidR="000D2202" w:rsidRDefault="00C541BC">
      <w:pPr>
        <w:numPr>
          <w:ilvl w:val="0"/>
          <w:numId w:val="1"/>
        </w:numPr>
      </w:pPr>
      <w:r>
        <w:t xml:space="preserve">Ken </w:t>
      </w:r>
      <w:proofErr w:type="spellStart"/>
      <w:r>
        <w:t>Lally</w:t>
      </w:r>
      <w:proofErr w:type="spellEnd"/>
    </w:p>
    <w:p w14:paraId="00000005" w14:textId="77777777" w:rsidR="000D2202" w:rsidRDefault="00C541BC">
      <w:pPr>
        <w:numPr>
          <w:ilvl w:val="0"/>
          <w:numId w:val="1"/>
        </w:numPr>
      </w:pPr>
      <w:r>
        <w:t>Laura Beaufort</w:t>
      </w:r>
    </w:p>
    <w:p w14:paraId="00000006" w14:textId="77777777" w:rsidR="000D2202" w:rsidRDefault="00C541BC">
      <w:pPr>
        <w:numPr>
          <w:ilvl w:val="0"/>
          <w:numId w:val="1"/>
        </w:numPr>
      </w:pPr>
      <w:r>
        <w:t xml:space="preserve">Ryan </w:t>
      </w:r>
      <w:proofErr w:type="spellStart"/>
      <w:r>
        <w:t>Lanz</w:t>
      </w:r>
      <w:proofErr w:type="spellEnd"/>
    </w:p>
    <w:p w14:paraId="00000007" w14:textId="77777777" w:rsidR="000D2202" w:rsidRDefault="00C541BC">
      <w:pPr>
        <w:numPr>
          <w:ilvl w:val="0"/>
          <w:numId w:val="1"/>
        </w:numPr>
      </w:pPr>
      <w:proofErr w:type="spellStart"/>
      <w:r>
        <w:t>Jonella</w:t>
      </w:r>
      <w:proofErr w:type="spellEnd"/>
      <w:r>
        <w:t xml:space="preserve"> </w:t>
      </w:r>
      <w:proofErr w:type="spellStart"/>
      <w:r>
        <w:t>Culmer</w:t>
      </w:r>
      <w:proofErr w:type="spellEnd"/>
    </w:p>
    <w:p w14:paraId="00000008" w14:textId="77777777" w:rsidR="000D2202" w:rsidRDefault="00C541BC">
      <w:pPr>
        <w:numPr>
          <w:ilvl w:val="0"/>
          <w:numId w:val="1"/>
        </w:numPr>
      </w:pPr>
      <w:r>
        <w:t>Robert Fultz</w:t>
      </w:r>
    </w:p>
    <w:p w14:paraId="00000009" w14:textId="77777777" w:rsidR="000D2202" w:rsidRDefault="00C541BC">
      <w:pPr>
        <w:numPr>
          <w:ilvl w:val="0"/>
          <w:numId w:val="1"/>
        </w:numPr>
      </w:pPr>
      <w:r>
        <w:t>Alex Lin</w:t>
      </w:r>
    </w:p>
    <w:p w14:paraId="0000000A" w14:textId="77777777" w:rsidR="000D2202" w:rsidRDefault="00C541BC">
      <w:pPr>
        <w:numPr>
          <w:ilvl w:val="0"/>
          <w:numId w:val="1"/>
        </w:numPr>
      </w:pPr>
      <w:r>
        <w:t>Matt Travers</w:t>
      </w:r>
    </w:p>
    <w:p w14:paraId="0000000B" w14:textId="77777777" w:rsidR="000D2202" w:rsidRDefault="00C541BC">
      <w:pPr>
        <w:numPr>
          <w:ilvl w:val="0"/>
          <w:numId w:val="1"/>
        </w:numPr>
      </w:pPr>
      <w:r>
        <w:t>Al Crowley</w:t>
      </w:r>
    </w:p>
    <w:p w14:paraId="0000000C" w14:textId="77777777" w:rsidR="000D2202" w:rsidRDefault="000D2202"/>
    <w:p w14:paraId="0000000D" w14:textId="77777777" w:rsidR="000D2202" w:rsidRDefault="00C541BC">
      <w:pPr>
        <w:pStyle w:val="Heading1"/>
      </w:pPr>
      <w:bookmarkStart w:id="2" w:name="_m6eod74icdyk" w:colFirst="0" w:colLast="0"/>
      <w:bookmarkEnd w:id="2"/>
      <w:r>
        <w:t>Discussion Notes:</w:t>
      </w:r>
    </w:p>
    <w:p w14:paraId="0000000E" w14:textId="77777777" w:rsidR="000D2202" w:rsidRDefault="00C541BC">
      <w:pPr>
        <w:numPr>
          <w:ilvl w:val="0"/>
          <w:numId w:val="2"/>
        </w:numPr>
      </w:pPr>
      <w:r>
        <w:t>These notes capture discussion points and action items not covered in materials provided.</w:t>
      </w:r>
    </w:p>
    <w:p w14:paraId="0000000F" w14:textId="77777777" w:rsidR="000D2202" w:rsidRDefault="00C541BC">
      <w:pPr>
        <w:numPr>
          <w:ilvl w:val="1"/>
          <w:numId w:val="2"/>
        </w:numPr>
      </w:pPr>
      <w:r>
        <w:t xml:space="preserve">Slide Deck: “FEC - </w:t>
      </w:r>
      <w:proofErr w:type="spellStart"/>
      <w:r>
        <w:t>FECFile</w:t>
      </w:r>
      <w:proofErr w:type="spellEnd"/>
      <w:r>
        <w:t xml:space="preserve"> Online - Weekly Check-in - 2021-10-0.pptx” for slide deck content</w:t>
      </w:r>
    </w:p>
    <w:p w14:paraId="00000010" w14:textId="77777777" w:rsidR="000D2202" w:rsidRDefault="00C541BC">
      <w:pPr>
        <w:numPr>
          <w:ilvl w:val="1"/>
          <w:numId w:val="2"/>
        </w:numPr>
      </w:pPr>
      <w:r>
        <w:t>QASP matrix with proposed tools:  Quality Assurance Surveillance Plan - Form 3X Bundle Assessment - 2021_10_07.xlsx</w:t>
      </w:r>
    </w:p>
    <w:p w14:paraId="00000011" w14:textId="77777777" w:rsidR="000D2202" w:rsidRDefault="00C541BC">
      <w:pPr>
        <w:numPr>
          <w:ilvl w:val="1"/>
          <w:numId w:val="2"/>
        </w:numPr>
      </w:pPr>
      <w:r>
        <w:t>Response to Questions from FEC.docx</w:t>
      </w:r>
    </w:p>
    <w:p w14:paraId="00000012" w14:textId="77777777" w:rsidR="000D2202" w:rsidRDefault="00C541BC">
      <w:pPr>
        <w:numPr>
          <w:ilvl w:val="0"/>
          <w:numId w:val="2"/>
        </w:numPr>
      </w:pPr>
      <w:r>
        <w:t>Schedule (</w:t>
      </w:r>
      <w:r>
        <w:t>p4):</w:t>
      </w:r>
    </w:p>
    <w:p w14:paraId="00000013" w14:textId="77777777" w:rsidR="000D2202" w:rsidRDefault="00C541BC">
      <w:pPr>
        <w:numPr>
          <w:ilvl w:val="1"/>
          <w:numId w:val="2"/>
        </w:numPr>
      </w:pPr>
      <w:r>
        <w:t xml:space="preserve">Regarding OWASP ZAP risk, Laura clarified that FEC is open to utilizing comparable tools if OWASP ZAP proves challenging to stand-up in this timeframe. </w:t>
      </w:r>
    </w:p>
    <w:p w14:paraId="00000014" w14:textId="77777777" w:rsidR="000D2202" w:rsidRDefault="00C541BC">
      <w:pPr>
        <w:numPr>
          <w:ilvl w:val="1"/>
          <w:numId w:val="2"/>
        </w:numPr>
      </w:pPr>
      <w:r>
        <w:t>For review of automated tool outputs, TCG will coordinate with FEC per output, given that differen</w:t>
      </w:r>
      <w:r>
        <w:t xml:space="preserve">t FEC staff will have different expertise. </w:t>
      </w:r>
    </w:p>
    <w:p w14:paraId="00000015" w14:textId="77777777" w:rsidR="000D2202" w:rsidRDefault="00C541BC">
      <w:pPr>
        <w:numPr>
          <w:ilvl w:val="1"/>
          <w:numId w:val="2"/>
        </w:numPr>
      </w:pPr>
      <w:proofErr w:type="spellStart"/>
      <w:r>
        <w:t>Jonella</w:t>
      </w:r>
      <w:proofErr w:type="spellEnd"/>
      <w:r>
        <w:t xml:space="preserve"> asked a question about what the length of the reporting period is.</w:t>
      </w:r>
    </w:p>
    <w:p w14:paraId="00000016" w14:textId="77777777" w:rsidR="000D2202" w:rsidRDefault="00C541BC">
      <w:pPr>
        <w:numPr>
          <w:ilvl w:val="2"/>
          <w:numId w:val="2"/>
        </w:numPr>
      </w:pPr>
      <w:r>
        <w:t>Alex responded that we have assumed a weekly cadence for the check-ins.</w:t>
      </w:r>
    </w:p>
    <w:p w14:paraId="00000017" w14:textId="77777777" w:rsidR="000D2202" w:rsidRDefault="00C541BC">
      <w:pPr>
        <w:numPr>
          <w:ilvl w:val="2"/>
          <w:numId w:val="2"/>
        </w:numPr>
      </w:pPr>
      <w:r>
        <w:t xml:space="preserve">The group agreed that, for now, this was sufficient. </w:t>
      </w:r>
    </w:p>
    <w:p w14:paraId="00000018" w14:textId="77777777" w:rsidR="000D2202" w:rsidRDefault="00C541BC">
      <w:pPr>
        <w:numPr>
          <w:ilvl w:val="0"/>
          <w:numId w:val="2"/>
        </w:numPr>
      </w:pPr>
      <w:r>
        <w:t>Staffing an</w:t>
      </w:r>
      <w:r>
        <w:t>d Resources (p5):</w:t>
      </w:r>
    </w:p>
    <w:p w14:paraId="00000019" w14:textId="77777777" w:rsidR="000D2202" w:rsidRDefault="00C541BC">
      <w:pPr>
        <w:numPr>
          <w:ilvl w:val="1"/>
          <w:numId w:val="2"/>
        </w:numPr>
      </w:pPr>
      <w:proofErr w:type="spellStart"/>
      <w:r>
        <w:t>Jonella</w:t>
      </w:r>
      <w:proofErr w:type="spellEnd"/>
      <w:r>
        <w:t xml:space="preserve"> clarified that both she and Robert can be a resource to the team for questions on 508.</w:t>
      </w:r>
    </w:p>
    <w:p w14:paraId="0000001A" w14:textId="77777777" w:rsidR="000D2202" w:rsidRDefault="00C541BC">
      <w:pPr>
        <w:numPr>
          <w:ilvl w:val="1"/>
          <w:numId w:val="2"/>
        </w:numPr>
        <w:rPr>
          <w:b/>
        </w:rPr>
      </w:pPr>
      <w:r>
        <w:rPr>
          <w:i/>
        </w:rPr>
        <w:t xml:space="preserve">Note: </w:t>
      </w:r>
      <w:r>
        <w:t xml:space="preserve">After the meeting, Ken </w:t>
      </w:r>
      <w:proofErr w:type="spellStart"/>
      <w:r>
        <w:t>Lally</w:t>
      </w:r>
      <w:proofErr w:type="spellEnd"/>
      <w:r>
        <w:t xml:space="preserve"> provided clarifications around the role of Product Owner, which have been updated in the slide deck. </w:t>
      </w:r>
    </w:p>
    <w:p w14:paraId="0000001B" w14:textId="77777777" w:rsidR="000D2202" w:rsidRDefault="00C541BC">
      <w:pPr>
        <w:numPr>
          <w:ilvl w:val="1"/>
          <w:numId w:val="2"/>
        </w:numPr>
        <w:rPr>
          <w:b/>
        </w:rPr>
      </w:pPr>
      <w:r>
        <w:rPr>
          <w:b/>
        </w:rPr>
        <w:t xml:space="preserve">Action Item: </w:t>
      </w:r>
      <w:r>
        <w:t xml:space="preserve">Alex to coordinate with Ryan </w:t>
      </w:r>
      <w:proofErr w:type="spellStart"/>
      <w:r>
        <w:t>Lanz</w:t>
      </w:r>
      <w:proofErr w:type="spellEnd"/>
      <w:r>
        <w:t xml:space="preserve"> for demos of the three systems</w:t>
      </w:r>
    </w:p>
    <w:p w14:paraId="0000001C" w14:textId="77777777" w:rsidR="000D2202" w:rsidRDefault="00C541BC">
      <w:pPr>
        <w:numPr>
          <w:ilvl w:val="2"/>
          <w:numId w:val="2"/>
        </w:numPr>
      </w:pPr>
      <w:proofErr w:type="spellStart"/>
      <w:r>
        <w:t>Jonella</w:t>
      </w:r>
      <w:proofErr w:type="spellEnd"/>
      <w:r>
        <w:t xml:space="preserve"> asked that she and Robert be included in the demo</w:t>
      </w:r>
    </w:p>
    <w:p w14:paraId="0000001D" w14:textId="77777777" w:rsidR="000D2202" w:rsidRDefault="00C541BC">
      <w:pPr>
        <w:numPr>
          <w:ilvl w:val="2"/>
          <w:numId w:val="2"/>
        </w:numPr>
      </w:pPr>
      <w:r>
        <w:lastRenderedPageBreak/>
        <w:t>Ryan will review the Dev, QA, and UAT environments to ensure that he still has access to them.</w:t>
      </w:r>
    </w:p>
    <w:p w14:paraId="0000001E" w14:textId="77777777" w:rsidR="000D2202" w:rsidRDefault="00C541BC">
      <w:pPr>
        <w:numPr>
          <w:ilvl w:val="1"/>
          <w:numId w:val="2"/>
        </w:numPr>
        <w:rPr>
          <w:b/>
        </w:rPr>
      </w:pPr>
      <w:r>
        <w:rPr>
          <w:b/>
        </w:rPr>
        <w:t>Action Item:</w:t>
      </w:r>
      <w:r>
        <w:t xml:space="preserve"> Alex to reac</w:t>
      </w:r>
      <w:r>
        <w:t xml:space="preserve">h out to Paul Clark for access to the Jira board provided in FEC’s responses. </w:t>
      </w:r>
    </w:p>
    <w:p w14:paraId="0000001F" w14:textId="77777777" w:rsidR="000D2202" w:rsidRDefault="00C541BC">
      <w:pPr>
        <w:numPr>
          <w:ilvl w:val="1"/>
          <w:numId w:val="2"/>
        </w:numPr>
        <w:rPr>
          <w:b/>
        </w:rPr>
      </w:pPr>
      <w:r>
        <w:rPr>
          <w:b/>
        </w:rPr>
        <w:t xml:space="preserve">Action Item: </w:t>
      </w:r>
      <w:r>
        <w:t xml:space="preserve">Slack was agreed on as the preferred platform for collaboration. Alex to coordinate with FEC to get Slack capabilities tested. </w:t>
      </w:r>
    </w:p>
    <w:p w14:paraId="00000020" w14:textId="77777777" w:rsidR="000D2202" w:rsidRDefault="00C541BC">
      <w:pPr>
        <w:numPr>
          <w:ilvl w:val="1"/>
          <w:numId w:val="2"/>
        </w:numPr>
      </w:pPr>
      <w:r>
        <w:t>On the question of a private reposit</w:t>
      </w:r>
      <w:r>
        <w:t xml:space="preserve">ory for the TCG team’s work in the </w:t>
      </w:r>
      <w:proofErr w:type="spellStart"/>
      <w:r>
        <w:t>fecgov</w:t>
      </w:r>
      <w:proofErr w:type="spellEnd"/>
      <w:r>
        <w:t xml:space="preserve"> </w:t>
      </w:r>
      <w:proofErr w:type="spellStart"/>
      <w:r>
        <w:t>github</w:t>
      </w:r>
      <w:proofErr w:type="spellEnd"/>
      <w:r>
        <w:t xml:space="preserve"> space:</w:t>
      </w:r>
    </w:p>
    <w:p w14:paraId="00000021" w14:textId="77777777" w:rsidR="000D2202" w:rsidRDefault="00C541BC">
      <w:pPr>
        <w:numPr>
          <w:ilvl w:val="2"/>
          <w:numId w:val="2"/>
        </w:numPr>
      </w:pPr>
      <w:r>
        <w:t>Laura expressed a preference to include all materials in the public space to support FEC’s philosophy of working in the open</w:t>
      </w:r>
    </w:p>
    <w:p w14:paraId="00000022" w14:textId="77777777" w:rsidR="000D2202" w:rsidRDefault="00C541BC">
      <w:pPr>
        <w:numPr>
          <w:ilvl w:val="2"/>
          <w:numId w:val="2"/>
        </w:numPr>
      </w:pPr>
      <w:r>
        <w:t>Ryan expressed some concerns about keeping all materials in the public spac</w:t>
      </w:r>
      <w:r>
        <w:t xml:space="preserve">e--for instance, meeting notes for certain meetings might need to be kept in a private repository. </w:t>
      </w:r>
    </w:p>
    <w:p w14:paraId="00000023" w14:textId="77777777" w:rsidR="000D2202" w:rsidRDefault="00C541BC">
      <w:pPr>
        <w:numPr>
          <w:ilvl w:val="2"/>
          <w:numId w:val="2"/>
        </w:numPr>
      </w:pPr>
      <w:r>
        <w:t xml:space="preserve">Alex offered that a follow-up conversation is probably needed to establish a rubric for what is public vs. private. </w:t>
      </w:r>
    </w:p>
    <w:p w14:paraId="00000024" w14:textId="77777777" w:rsidR="000D2202" w:rsidRDefault="00C541BC">
      <w:pPr>
        <w:numPr>
          <w:ilvl w:val="2"/>
          <w:numId w:val="2"/>
        </w:numPr>
        <w:rPr>
          <w:b/>
        </w:rPr>
      </w:pPr>
      <w:r>
        <w:rPr>
          <w:b/>
        </w:rPr>
        <w:t xml:space="preserve">Action Item: </w:t>
      </w:r>
      <w:r>
        <w:t>Alex to start and coordina</w:t>
      </w:r>
      <w:r>
        <w:t xml:space="preserve">te a follow-up discussion around </w:t>
      </w:r>
      <w:bookmarkStart w:id="3" w:name="_GoBack"/>
      <w:bookmarkEnd w:id="3"/>
      <w:r>
        <w:t xml:space="preserve">the public vs. private repository. </w:t>
      </w:r>
    </w:p>
    <w:p w14:paraId="00000025" w14:textId="77777777" w:rsidR="000D2202" w:rsidRDefault="00C541BC">
      <w:pPr>
        <w:numPr>
          <w:ilvl w:val="0"/>
          <w:numId w:val="2"/>
        </w:numPr>
      </w:pPr>
      <w:r>
        <w:t>Risks and Issues (p7):</w:t>
      </w:r>
    </w:p>
    <w:p w14:paraId="00000026" w14:textId="5F2729AF" w:rsidR="000D2202" w:rsidRDefault="00C541BC">
      <w:pPr>
        <w:numPr>
          <w:ilvl w:val="1"/>
          <w:numId w:val="2"/>
        </w:numPr>
      </w:pPr>
      <w:r>
        <w:t xml:space="preserve">Ryan noted that one risk to the FEC is that the required date for exercising the option period is coming up quickly (i.e. because of the </w:t>
      </w:r>
      <w:r>
        <w:t xml:space="preserve">requirement of 30 </w:t>
      </w:r>
      <w:proofErr w:type="spellStart"/>
      <w:r>
        <w:t>days notice</w:t>
      </w:r>
      <w:proofErr w:type="spellEnd"/>
      <w:r>
        <w:t xml:space="preserve"> t</w:t>
      </w:r>
      <w:r>
        <w:t xml:space="preserve">o exercise the option) and there is not currently a deliverable scheduled before then. </w:t>
      </w:r>
    </w:p>
    <w:p w14:paraId="00000027" w14:textId="77777777" w:rsidR="000D2202" w:rsidRDefault="00C541BC">
      <w:pPr>
        <w:numPr>
          <w:ilvl w:val="2"/>
          <w:numId w:val="2"/>
        </w:numPr>
      </w:pPr>
      <w:r>
        <w:t xml:space="preserve">Wei responded that there have been some discussions with the CFO on this topic. </w:t>
      </w:r>
    </w:p>
    <w:p w14:paraId="00000028" w14:textId="77777777" w:rsidR="000D2202" w:rsidRDefault="00C541BC">
      <w:pPr>
        <w:numPr>
          <w:ilvl w:val="2"/>
          <w:numId w:val="2"/>
        </w:numPr>
      </w:pPr>
      <w:r>
        <w:t>Alex offered that TCG is willing to work with FEC to define a deliverable or other eval</w:t>
      </w:r>
      <w:r>
        <w:t xml:space="preserve">uation criteria to support FEC’s decision making. </w:t>
      </w:r>
    </w:p>
    <w:p w14:paraId="00000029" w14:textId="77777777" w:rsidR="000D2202" w:rsidRDefault="00C541BC">
      <w:pPr>
        <w:numPr>
          <w:ilvl w:val="2"/>
          <w:numId w:val="2"/>
        </w:numPr>
        <w:rPr>
          <w:b/>
        </w:rPr>
      </w:pPr>
      <w:r>
        <w:rPr>
          <w:b/>
        </w:rPr>
        <w:t xml:space="preserve">Action Item: </w:t>
      </w:r>
      <w:r>
        <w:t xml:space="preserve">Alex to follow-up with FEC on potential needs for an interim deliverable to allow for fair evaluation. </w:t>
      </w:r>
    </w:p>
    <w:p w14:paraId="0000002A" w14:textId="77777777" w:rsidR="000D2202" w:rsidRDefault="00C541BC">
      <w:pPr>
        <w:numPr>
          <w:ilvl w:val="0"/>
          <w:numId w:val="2"/>
        </w:numPr>
      </w:pPr>
      <w:r>
        <w:t xml:space="preserve">Debrief: </w:t>
      </w:r>
    </w:p>
    <w:p w14:paraId="0000002B" w14:textId="77777777" w:rsidR="000D2202" w:rsidRDefault="00C541BC">
      <w:pPr>
        <w:numPr>
          <w:ilvl w:val="1"/>
          <w:numId w:val="2"/>
        </w:numPr>
      </w:pPr>
      <w:r>
        <w:t>Alex asked if the provided slide template was a reasonable format for the week</w:t>
      </w:r>
      <w:r>
        <w:t xml:space="preserve">ly check-ins. </w:t>
      </w:r>
    </w:p>
    <w:p w14:paraId="0000002C" w14:textId="77777777" w:rsidR="000D2202" w:rsidRDefault="00C541BC">
      <w:pPr>
        <w:numPr>
          <w:ilvl w:val="1"/>
          <w:numId w:val="2"/>
        </w:numPr>
      </w:pPr>
      <w:proofErr w:type="spellStart"/>
      <w:r>
        <w:t>Jonella</w:t>
      </w:r>
      <w:proofErr w:type="spellEnd"/>
      <w:r>
        <w:t xml:space="preserve"> responded that the format seemed fine for now and that we could adjust later if needed.</w:t>
      </w:r>
    </w:p>
    <w:p w14:paraId="0000002D" w14:textId="77777777" w:rsidR="000D2202" w:rsidRDefault="00C541BC">
      <w:pPr>
        <w:numPr>
          <w:ilvl w:val="2"/>
          <w:numId w:val="2"/>
        </w:numPr>
      </w:pPr>
      <w:r>
        <w:t xml:space="preserve">The rest of the group concurred. </w:t>
      </w:r>
    </w:p>
    <w:p w14:paraId="0000002E" w14:textId="77777777" w:rsidR="000D2202" w:rsidRDefault="00C541BC">
      <w:pPr>
        <w:numPr>
          <w:ilvl w:val="0"/>
          <w:numId w:val="2"/>
        </w:numPr>
      </w:pPr>
      <w:r>
        <w:t>Follow-up Discussion of Answers Provided by FEC:</w:t>
      </w:r>
    </w:p>
    <w:p w14:paraId="0000002F" w14:textId="77777777" w:rsidR="000D2202" w:rsidRDefault="00C541BC">
      <w:pPr>
        <w:numPr>
          <w:ilvl w:val="1"/>
          <w:numId w:val="2"/>
        </w:numPr>
      </w:pPr>
      <w:r>
        <w:t xml:space="preserve">P1: From FEC, in response to the question about prioritization of 18F’s 4 recommendations:  </w:t>
      </w:r>
      <w:r w:rsidRPr="00C541BC">
        <w:rPr>
          <w:color w:val="000000" w:themeColor="text1"/>
        </w:rPr>
        <w:t>“...</w:t>
      </w:r>
      <w:r w:rsidRPr="00C541BC">
        <w:rPr>
          <w:color w:val="000000" w:themeColor="text1"/>
        </w:rPr>
        <w:t>Could you explain in more detail your concern regarding this question?”</w:t>
      </w:r>
    </w:p>
    <w:p w14:paraId="00000030" w14:textId="77777777" w:rsidR="000D2202" w:rsidRDefault="00C541BC">
      <w:pPr>
        <w:numPr>
          <w:ilvl w:val="2"/>
          <w:numId w:val="2"/>
        </w:numPr>
        <w:pBdr>
          <w:top w:val="nil"/>
          <w:left w:val="nil"/>
          <w:bottom w:val="nil"/>
          <w:right w:val="nil"/>
          <w:between w:val="nil"/>
        </w:pBdr>
      </w:pPr>
      <w:r>
        <w:t>Alex clarified that this was a probing question intent on gauging how wholeheartedly 18F</w:t>
      </w:r>
      <w:r>
        <w:t xml:space="preserve">’s recommendations have been adopted--at other agencies, TCG has seen that the recommendations of third party assessments receive mixed assessments and prioritization. The answer provided makes clear that the recommendations have a high level of </w:t>
      </w:r>
      <w:proofErr w:type="gramStart"/>
      <w:r>
        <w:t>support</w:t>
      </w:r>
      <w:proofErr w:type="gramEnd"/>
      <w:r>
        <w:t xml:space="preserve"> fr</w:t>
      </w:r>
      <w:r>
        <w:t xml:space="preserve">om FEC. </w:t>
      </w:r>
    </w:p>
    <w:p w14:paraId="00000031" w14:textId="77777777" w:rsidR="000D2202" w:rsidRDefault="00C541BC">
      <w:pPr>
        <w:numPr>
          <w:ilvl w:val="1"/>
          <w:numId w:val="2"/>
        </w:numPr>
        <w:pBdr>
          <w:top w:val="nil"/>
          <w:left w:val="nil"/>
          <w:bottom w:val="nil"/>
          <w:right w:val="nil"/>
          <w:between w:val="nil"/>
        </w:pBdr>
      </w:pPr>
      <w:r>
        <w:lastRenderedPageBreak/>
        <w:t xml:space="preserve">P2: FEC asked for clarification around the instance of </w:t>
      </w:r>
      <w:proofErr w:type="spellStart"/>
      <w:r>
        <w:t>fecfile</w:t>
      </w:r>
      <w:proofErr w:type="spellEnd"/>
      <w:r>
        <w:t xml:space="preserve">-validate running in the cloud. </w:t>
      </w:r>
    </w:p>
    <w:p w14:paraId="00000032" w14:textId="77777777" w:rsidR="000D2202" w:rsidRDefault="00C541BC">
      <w:pPr>
        <w:numPr>
          <w:ilvl w:val="2"/>
          <w:numId w:val="2"/>
        </w:numPr>
        <w:pBdr>
          <w:top w:val="nil"/>
          <w:left w:val="nil"/>
          <w:bottom w:val="nil"/>
          <w:right w:val="nil"/>
          <w:between w:val="nil"/>
        </w:pBdr>
      </w:pPr>
      <w:r>
        <w:t xml:space="preserve">Alex explained that this instance of </w:t>
      </w:r>
      <w:proofErr w:type="spellStart"/>
      <w:r>
        <w:t>fecfile</w:t>
      </w:r>
      <w:proofErr w:type="spellEnd"/>
      <w:r>
        <w:t xml:space="preserve">-validate is explicitly mentioned in the </w:t>
      </w:r>
      <w:proofErr w:type="spellStart"/>
      <w:proofErr w:type="gramStart"/>
      <w:r>
        <w:t>jenkins</w:t>
      </w:r>
      <w:proofErr w:type="spellEnd"/>
      <w:proofErr w:type="gramEnd"/>
      <w:r>
        <w:t xml:space="preserve"> scripts, and that the TCG team was wondering if it might be a development instance. </w:t>
      </w:r>
    </w:p>
    <w:p w14:paraId="00000033" w14:textId="77777777" w:rsidR="000D2202" w:rsidRDefault="00C541BC">
      <w:pPr>
        <w:numPr>
          <w:ilvl w:val="2"/>
          <w:numId w:val="2"/>
        </w:numPr>
        <w:pBdr>
          <w:top w:val="nil"/>
          <w:left w:val="nil"/>
          <w:bottom w:val="nil"/>
          <w:right w:val="nil"/>
          <w:between w:val="nil"/>
        </w:pBdr>
      </w:pPr>
      <w:r>
        <w:t>Ryan clarified that this instance does not seem to be one of the official Dev,</w:t>
      </w:r>
      <w:r>
        <w:t xml:space="preserve"> QA, or UAT instances. He will provide access to those if possible. </w:t>
      </w:r>
    </w:p>
    <w:p w14:paraId="00000034" w14:textId="77777777" w:rsidR="000D2202" w:rsidRDefault="00C541BC">
      <w:pPr>
        <w:numPr>
          <w:ilvl w:val="0"/>
          <w:numId w:val="2"/>
        </w:numPr>
        <w:pBdr>
          <w:top w:val="nil"/>
          <w:left w:val="nil"/>
          <w:bottom w:val="nil"/>
          <w:right w:val="nil"/>
          <w:between w:val="nil"/>
        </w:pBdr>
      </w:pPr>
      <w:r>
        <w:t>QASP Tools Review:</w:t>
      </w:r>
    </w:p>
    <w:p w14:paraId="00000035" w14:textId="77777777" w:rsidR="000D2202" w:rsidRDefault="00C541BC">
      <w:pPr>
        <w:numPr>
          <w:ilvl w:val="1"/>
          <w:numId w:val="2"/>
        </w:numPr>
        <w:pBdr>
          <w:top w:val="nil"/>
          <w:left w:val="nil"/>
          <w:bottom w:val="nil"/>
          <w:right w:val="nil"/>
          <w:between w:val="nil"/>
        </w:pBdr>
      </w:pPr>
      <w:r>
        <w:t>The goal of this review was to confirm some of the automated tools selected for the first part of the assessment (i.e. assessment of existing code against the Quality A</w:t>
      </w:r>
      <w:r>
        <w:t>ssurance Surveillance Plan)</w:t>
      </w:r>
    </w:p>
    <w:p w14:paraId="00000036" w14:textId="77777777" w:rsidR="000D2202" w:rsidRDefault="00C541BC">
      <w:pPr>
        <w:numPr>
          <w:ilvl w:val="2"/>
          <w:numId w:val="2"/>
        </w:numPr>
        <w:pBdr>
          <w:top w:val="nil"/>
          <w:left w:val="nil"/>
          <w:bottom w:val="nil"/>
          <w:right w:val="nil"/>
          <w:between w:val="nil"/>
        </w:pBdr>
      </w:pPr>
      <w:r>
        <w:t xml:space="preserve">Methods/tools listed were confirmed by FEC, with discussion as noted below. </w:t>
      </w:r>
    </w:p>
    <w:p w14:paraId="00000037" w14:textId="77777777" w:rsidR="000D2202" w:rsidRDefault="00C541BC">
      <w:pPr>
        <w:numPr>
          <w:ilvl w:val="1"/>
          <w:numId w:val="2"/>
        </w:numPr>
        <w:pBdr>
          <w:top w:val="nil"/>
          <w:left w:val="nil"/>
          <w:bottom w:val="nil"/>
          <w:right w:val="nil"/>
          <w:between w:val="nil"/>
        </w:pBdr>
      </w:pPr>
      <w:r>
        <w:t xml:space="preserve">On code style, Laura noted that FEC would be willing to review recommendations from TCG about what constitutes actionable findings from the </w:t>
      </w:r>
      <w:proofErr w:type="spellStart"/>
      <w:r>
        <w:t>linting</w:t>
      </w:r>
      <w:proofErr w:type="spellEnd"/>
      <w:r>
        <w:t xml:space="preserve"> too</w:t>
      </w:r>
      <w:r>
        <w:t>ls.</w:t>
      </w:r>
    </w:p>
    <w:p w14:paraId="00000038" w14:textId="77777777" w:rsidR="000D2202" w:rsidRDefault="00C541BC">
      <w:pPr>
        <w:numPr>
          <w:ilvl w:val="2"/>
          <w:numId w:val="2"/>
        </w:numPr>
        <w:pBdr>
          <w:top w:val="nil"/>
          <w:left w:val="nil"/>
          <w:bottom w:val="nil"/>
          <w:right w:val="nil"/>
          <w:between w:val="nil"/>
        </w:pBdr>
        <w:rPr>
          <w:b/>
        </w:rPr>
      </w:pPr>
      <w:r>
        <w:rPr>
          <w:b/>
        </w:rPr>
        <w:t>Action Item:</w:t>
      </w:r>
      <w:r>
        <w:t xml:space="preserve"> As part of review of the automated tools, TCG will provide recommendations and narrative about what we believe is actionable (i.e. vs. false positives). </w:t>
      </w:r>
    </w:p>
    <w:p w14:paraId="00000039" w14:textId="77777777" w:rsidR="000D2202" w:rsidRDefault="00C541BC">
      <w:pPr>
        <w:numPr>
          <w:ilvl w:val="1"/>
          <w:numId w:val="2"/>
        </w:numPr>
        <w:pBdr>
          <w:top w:val="nil"/>
          <w:left w:val="nil"/>
          <w:bottom w:val="nil"/>
          <w:right w:val="nil"/>
          <w:between w:val="nil"/>
        </w:pBdr>
      </w:pPr>
      <w:r>
        <w:t>On 508:</w:t>
      </w:r>
    </w:p>
    <w:p w14:paraId="0000003A" w14:textId="77777777" w:rsidR="000D2202" w:rsidRDefault="00C541BC">
      <w:pPr>
        <w:numPr>
          <w:ilvl w:val="2"/>
          <w:numId w:val="2"/>
        </w:numPr>
        <w:pBdr>
          <w:top w:val="nil"/>
          <w:left w:val="nil"/>
          <w:bottom w:val="nil"/>
          <w:right w:val="nil"/>
          <w:between w:val="nil"/>
        </w:pBdr>
      </w:pPr>
      <w:r>
        <w:t>HTML Code Sniffer was accepted as a substitute for the listed 508 tools.</w:t>
      </w:r>
    </w:p>
    <w:p w14:paraId="0000003B" w14:textId="77777777" w:rsidR="000D2202" w:rsidRDefault="00C541BC">
      <w:pPr>
        <w:numPr>
          <w:ilvl w:val="3"/>
          <w:numId w:val="2"/>
        </w:numPr>
        <w:pBdr>
          <w:top w:val="nil"/>
          <w:left w:val="nil"/>
          <w:bottom w:val="nil"/>
          <w:right w:val="nil"/>
          <w:between w:val="nil"/>
        </w:pBdr>
      </w:pPr>
      <w:r>
        <w:t xml:space="preserve">Laura noted that the amount of manual intervention needed for HTML Code Sniffer, while acceptable for the assessment, would not be an accepted solution for future development work, as it cannot be automated as part of a CI/CD pipeline. </w:t>
      </w:r>
    </w:p>
    <w:p w14:paraId="0000003C" w14:textId="77777777" w:rsidR="000D2202" w:rsidRDefault="00C541BC">
      <w:pPr>
        <w:numPr>
          <w:ilvl w:val="1"/>
          <w:numId w:val="2"/>
        </w:numPr>
        <w:pBdr>
          <w:top w:val="nil"/>
          <w:left w:val="nil"/>
          <w:bottom w:val="nil"/>
          <w:right w:val="nil"/>
          <w:between w:val="nil"/>
        </w:pBdr>
      </w:pPr>
      <w:r>
        <w:t>On security:</w:t>
      </w:r>
    </w:p>
    <w:p w14:paraId="0000003D" w14:textId="77777777" w:rsidR="000D2202" w:rsidRDefault="00C541BC">
      <w:pPr>
        <w:numPr>
          <w:ilvl w:val="2"/>
          <w:numId w:val="2"/>
        </w:numPr>
        <w:pBdr>
          <w:top w:val="nil"/>
          <w:left w:val="nil"/>
          <w:bottom w:val="nil"/>
          <w:right w:val="nil"/>
          <w:between w:val="nil"/>
        </w:pBdr>
      </w:pPr>
      <w:r>
        <w:t>The TC</w:t>
      </w:r>
      <w:r>
        <w:t xml:space="preserve">G team asked if </w:t>
      </w:r>
      <w:proofErr w:type="spellStart"/>
      <w:r>
        <w:t>Sonarqube</w:t>
      </w:r>
      <w:proofErr w:type="spellEnd"/>
      <w:r>
        <w:t xml:space="preserve"> could be substituted for bandit (</w:t>
      </w:r>
      <w:proofErr w:type="spellStart"/>
      <w:r>
        <w:t>Sonarqube</w:t>
      </w:r>
      <w:proofErr w:type="spellEnd"/>
      <w:r>
        <w:t xml:space="preserve"> is a standard TCG tool and--in some respects--more robust.) </w:t>
      </w:r>
    </w:p>
    <w:p w14:paraId="0000003E" w14:textId="77777777" w:rsidR="000D2202" w:rsidRDefault="00C541BC">
      <w:pPr>
        <w:numPr>
          <w:ilvl w:val="3"/>
          <w:numId w:val="2"/>
        </w:numPr>
        <w:pBdr>
          <w:top w:val="nil"/>
          <w:left w:val="nil"/>
          <w:bottom w:val="nil"/>
          <w:right w:val="nil"/>
          <w:between w:val="nil"/>
        </w:pBdr>
      </w:pPr>
      <w:r>
        <w:t xml:space="preserve">Laura responded that FEC would be willing to accept the substitution if a side-by-side comparison demonstrates that </w:t>
      </w:r>
      <w:proofErr w:type="spellStart"/>
      <w:r>
        <w:t>Sonarqube</w:t>
      </w:r>
      <w:proofErr w:type="spellEnd"/>
      <w:r>
        <w:t xml:space="preserve"> </w:t>
      </w:r>
      <w:r>
        <w:t xml:space="preserve">covers all bandit findings. </w:t>
      </w:r>
    </w:p>
    <w:p w14:paraId="0000003F" w14:textId="77777777" w:rsidR="000D2202" w:rsidRDefault="00C541BC">
      <w:pPr>
        <w:numPr>
          <w:ilvl w:val="4"/>
          <w:numId w:val="2"/>
        </w:numPr>
        <w:pBdr>
          <w:top w:val="nil"/>
          <w:left w:val="nil"/>
          <w:bottom w:val="nil"/>
          <w:right w:val="nil"/>
          <w:between w:val="nil"/>
        </w:pBdr>
      </w:pPr>
      <w:r>
        <w:t xml:space="preserve">Matt confirmed that this would be possible. </w:t>
      </w:r>
    </w:p>
    <w:p w14:paraId="00000040" w14:textId="77777777" w:rsidR="000D2202" w:rsidRDefault="00C541BC">
      <w:pPr>
        <w:numPr>
          <w:ilvl w:val="3"/>
          <w:numId w:val="2"/>
        </w:numPr>
        <w:pBdr>
          <w:top w:val="nil"/>
          <w:left w:val="nil"/>
          <w:bottom w:val="nil"/>
          <w:right w:val="nil"/>
          <w:between w:val="nil"/>
        </w:pBdr>
      </w:pPr>
      <w:r>
        <w:t xml:space="preserve">Laura reiterated that FEC would accept a substitution for OWASP ZAP if necessary. </w:t>
      </w:r>
    </w:p>
    <w:p w14:paraId="00000041" w14:textId="77777777" w:rsidR="000D2202" w:rsidRDefault="000D2202"/>
    <w:sectPr w:rsidR="000D22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D1EB0"/>
    <w:multiLevelType w:val="multilevel"/>
    <w:tmpl w:val="1EE83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F00541"/>
    <w:multiLevelType w:val="multilevel"/>
    <w:tmpl w:val="8A2E7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202"/>
    <w:rsid w:val="000D2202"/>
    <w:rsid w:val="00C54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4B9939-1AA7-4168-B916-2B4A36D1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2021-10-12T16:45:00Z</dcterms:created>
  <dcterms:modified xsi:type="dcterms:W3CDTF">2021-10-12T16:45:00Z</dcterms:modified>
</cp:coreProperties>
</file>